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924B50" w14:textId="77777777" w:rsidR="006B39E5" w:rsidRDefault="006B39E5" w:rsidP="006B39E5">
      <w:pPr>
        <w:autoSpaceDE w:val="0"/>
        <w:autoSpaceDN w:val="0"/>
        <w:adjustRightInd w:val="0"/>
        <w:spacing w:after="0" w:line="240" w:lineRule="auto"/>
        <w:rPr>
          <w:rFonts w:ascii="OpenSans-Extrabold" w:hAnsi="OpenSans-Extrabold" w:cs="OpenSans-Extrabold"/>
          <w:color w:val="000000"/>
          <w:sz w:val="14"/>
          <w:szCs w:val="14"/>
        </w:rPr>
      </w:pPr>
      <w:r>
        <w:rPr>
          <w:rFonts w:ascii="CenturyStd-Bold" w:hAnsi="CenturyStd-Bold" w:cs="CenturyStd-Bold"/>
          <w:b/>
          <w:bCs/>
          <w:color w:val="000000"/>
          <w:sz w:val="24"/>
          <w:szCs w:val="24"/>
        </w:rPr>
        <w:t>SCIENCES ET TECHNIQUES DU NUCLÉAIRE</w:t>
      </w:r>
      <w:r w:rsidR="00230458">
        <w:rPr>
          <w:rFonts w:ascii="CenturyStd-Bold" w:hAnsi="CenturyStd-Bold" w:cs="CenturyStd-Bold"/>
          <w:b/>
          <w:bCs/>
          <w:color w:val="000000"/>
          <w:sz w:val="24"/>
          <w:szCs w:val="24"/>
        </w:rPr>
        <w:t xml:space="preserve"> </w:t>
      </w:r>
      <w:r>
        <w:rPr>
          <w:rFonts w:ascii="CenturyStd-Book" w:hAnsi="CenturyStd-Book" w:cs="CenturyStd-Book"/>
          <w:color w:val="000000"/>
          <w:sz w:val="14"/>
          <w:szCs w:val="14"/>
        </w:rPr>
        <w:t xml:space="preserve">LA REVUE GÉNÉRALE NUCLÉAIRE </w:t>
      </w:r>
      <w:r>
        <w:rPr>
          <w:rFonts w:ascii="OpenSans-Light" w:hAnsi="OpenSans-Light" w:cs="OpenSans-Light"/>
          <w:color w:val="000000"/>
          <w:sz w:val="14"/>
          <w:szCs w:val="14"/>
        </w:rPr>
        <w:t xml:space="preserve">• JUILLET-AOÛT 2017 • N°4 • </w:t>
      </w:r>
      <w:r>
        <w:rPr>
          <w:rFonts w:ascii="OpenSans-Extrabold" w:hAnsi="OpenSans-Extrabold" w:cs="OpenSans-Extrabold"/>
          <w:color w:val="000000"/>
          <w:sz w:val="14"/>
          <w:szCs w:val="14"/>
        </w:rPr>
        <w:t>51</w:t>
      </w:r>
    </w:p>
    <w:p w14:paraId="6760197F" w14:textId="77777777" w:rsidR="006B39E5" w:rsidRDefault="006B39E5" w:rsidP="006B39E5">
      <w:pPr>
        <w:autoSpaceDE w:val="0"/>
        <w:autoSpaceDN w:val="0"/>
        <w:adjustRightInd w:val="0"/>
        <w:spacing w:after="0" w:line="240" w:lineRule="auto"/>
        <w:rPr>
          <w:rFonts w:ascii="OpenSans-Extrabold" w:hAnsi="OpenSans-Extrabold" w:cs="OpenSans-Extrabold"/>
          <w:color w:val="000000"/>
          <w:sz w:val="44"/>
          <w:szCs w:val="44"/>
        </w:rPr>
      </w:pPr>
      <w:r>
        <w:rPr>
          <w:rFonts w:ascii="OpenSans-Extrabold" w:hAnsi="OpenSans-Extrabold" w:cs="OpenSans-Extrabold"/>
          <w:color w:val="000000"/>
          <w:sz w:val="44"/>
          <w:szCs w:val="44"/>
        </w:rPr>
        <w:t>Les réacteurs souterrains :</w:t>
      </w:r>
    </w:p>
    <w:p w14:paraId="6CBF0A61" w14:textId="77777777" w:rsidR="006B39E5" w:rsidRDefault="006B39E5" w:rsidP="006B39E5">
      <w:pPr>
        <w:autoSpaceDE w:val="0"/>
        <w:autoSpaceDN w:val="0"/>
        <w:adjustRightInd w:val="0"/>
        <w:spacing w:after="0" w:line="240" w:lineRule="auto"/>
        <w:rPr>
          <w:rFonts w:ascii="OpenSans-Extrabold" w:hAnsi="OpenSans-Extrabold" w:cs="OpenSans-Extrabold"/>
          <w:color w:val="000000"/>
          <w:sz w:val="44"/>
          <w:szCs w:val="44"/>
        </w:rPr>
      </w:pPr>
      <w:proofErr w:type="gramStart"/>
      <w:r>
        <w:rPr>
          <w:rFonts w:ascii="OpenSans-Extrabold" w:hAnsi="OpenSans-Extrabold" w:cs="OpenSans-Extrabold"/>
          <w:color w:val="000000"/>
          <w:sz w:val="44"/>
          <w:szCs w:val="44"/>
        </w:rPr>
        <w:t>une</w:t>
      </w:r>
      <w:proofErr w:type="gramEnd"/>
      <w:r>
        <w:rPr>
          <w:rFonts w:ascii="OpenSans-Extrabold" w:hAnsi="OpenSans-Extrabold" w:cs="OpenSans-Extrabold"/>
          <w:color w:val="000000"/>
          <w:sz w:val="44"/>
          <w:szCs w:val="44"/>
        </w:rPr>
        <w:t xml:space="preserve"> bonne idée trop vite enterrée ?</w:t>
      </w:r>
    </w:p>
    <w:p w14:paraId="77FE24FE" w14:textId="77777777" w:rsidR="006B39E5" w:rsidRDefault="006B39E5" w:rsidP="006B39E5">
      <w:pPr>
        <w:autoSpaceDE w:val="0"/>
        <w:autoSpaceDN w:val="0"/>
        <w:adjustRightInd w:val="0"/>
        <w:spacing w:after="0" w:line="240" w:lineRule="auto"/>
        <w:rPr>
          <w:rFonts w:ascii="CenturyStd-LightItalic" w:hAnsi="CenturyStd-LightItalic" w:cs="CenturyStd-LightItalic"/>
          <w:i/>
          <w:iCs/>
          <w:color w:val="000000"/>
          <w:sz w:val="17"/>
          <w:szCs w:val="17"/>
        </w:rPr>
      </w:pPr>
      <w:r>
        <w:rPr>
          <w:rFonts w:ascii="CenturyStd-LightItalic" w:hAnsi="CenturyStd-LightItalic" w:cs="CenturyStd-LightItalic"/>
          <w:i/>
          <w:iCs/>
          <w:color w:val="000000"/>
          <w:sz w:val="17"/>
          <w:szCs w:val="17"/>
        </w:rPr>
        <w:t xml:space="preserve">Par </w:t>
      </w:r>
      <w:r>
        <w:rPr>
          <w:rFonts w:ascii="OpenSans-Extrabold" w:hAnsi="OpenSans-Extrabold" w:cs="OpenSans-Extrabold"/>
          <w:color w:val="FF3B45"/>
          <w:sz w:val="17"/>
          <w:szCs w:val="17"/>
        </w:rPr>
        <w:t xml:space="preserve">Pierre Duffaut, </w:t>
      </w:r>
      <w:r>
        <w:rPr>
          <w:rFonts w:ascii="CenturyStd-LightItalic" w:hAnsi="CenturyStd-LightItalic" w:cs="CenturyStd-LightItalic"/>
          <w:i/>
          <w:iCs/>
          <w:color w:val="000000"/>
          <w:sz w:val="17"/>
          <w:szCs w:val="17"/>
        </w:rPr>
        <w:t>ancien ingénieur géologue à EDF puis au Bureau de recherches géologiques et minières (BRGM)</w:t>
      </w:r>
    </w:p>
    <w:p w14:paraId="6BDE2AEB" w14:textId="77777777" w:rsidR="006B39E5" w:rsidRDefault="006B39E5" w:rsidP="006B39E5">
      <w:pPr>
        <w:autoSpaceDE w:val="0"/>
        <w:autoSpaceDN w:val="0"/>
        <w:adjustRightInd w:val="0"/>
        <w:spacing w:after="0" w:line="240" w:lineRule="auto"/>
        <w:rPr>
          <w:rFonts w:ascii="Pacifico-Regular" w:hAnsi="Pacifico-Regular" w:cs="Pacifico-Regular"/>
          <w:color w:val="000000"/>
          <w:sz w:val="30"/>
          <w:szCs w:val="30"/>
        </w:rPr>
      </w:pPr>
    </w:p>
    <w:p w14:paraId="452162F2" w14:textId="77777777" w:rsidR="006B39E5" w:rsidRDefault="006B39E5" w:rsidP="006B39E5">
      <w:pPr>
        <w:autoSpaceDE w:val="0"/>
        <w:autoSpaceDN w:val="0"/>
        <w:adjustRightInd w:val="0"/>
        <w:spacing w:after="0" w:line="240" w:lineRule="auto"/>
        <w:rPr>
          <w:rFonts w:ascii="Pacifico-Regular" w:hAnsi="Pacifico-Regular" w:cs="Pacifico-Regular"/>
          <w:color w:val="000000"/>
          <w:sz w:val="30"/>
          <w:szCs w:val="30"/>
        </w:rPr>
      </w:pPr>
      <w:proofErr w:type="gramStart"/>
      <w:r>
        <w:rPr>
          <w:rFonts w:ascii="Pacifico-Regular" w:hAnsi="Pacifico-Regular" w:cs="Pacifico-Regular"/>
          <w:color w:val="000000"/>
          <w:sz w:val="30"/>
          <w:szCs w:val="30"/>
        </w:rPr>
        <w:t>en</w:t>
      </w:r>
      <w:proofErr w:type="gramEnd"/>
      <w:r>
        <w:rPr>
          <w:rFonts w:ascii="Pacifico-Regular" w:hAnsi="Pacifico-Regular" w:cs="Pacifico-Regular"/>
          <w:color w:val="000000"/>
          <w:sz w:val="30"/>
          <w:szCs w:val="30"/>
        </w:rPr>
        <w:t xml:space="preserve"> substance…</w:t>
      </w:r>
    </w:p>
    <w:p w14:paraId="2CDDB535" w14:textId="77777777" w:rsidR="006B39E5" w:rsidRDefault="006B39E5" w:rsidP="006B39E5">
      <w:pPr>
        <w:autoSpaceDE w:val="0"/>
        <w:autoSpaceDN w:val="0"/>
        <w:adjustRightInd w:val="0"/>
        <w:spacing w:after="0" w:line="240" w:lineRule="auto"/>
        <w:rPr>
          <w:rFonts w:ascii="OpenSans-Regular" w:hAnsi="OpenSans-Regular" w:cs="OpenSans-Regular"/>
          <w:color w:val="FF3B45"/>
          <w:sz w:val="19"/>
          <w:szCs w:val="19"/>
        </w:rPr>
      </w:pPr>
      <w:r>
        <w:rPr>
          <w:rFonts w:ascii="OpenSans-Regular" w:hAnsi="OpenSans-Regular" w:cs="OpenSans-Regular"/>
          <w:color w:val="FF3B45"/>
          <w:sz w:val="19"/>
          <w:szCs w:val="19"/>
        </w:rPr>
        <w:t xml:space="preserve">Le premier accident nucléaire avec fusion partielle du cœur s’est produit en Suisse dans la petite centrale expérimentale de </w:t>
      </w:r>
      <w:proofErr w:type="spellStart"/>
      <w:r>
        <w:rPr>
          <w:rFonts w:ascii="OpenSans-Regular" w:hAnsi="OpenSans-Regular" w:cs="OpenSans-Regular"/>
          <w:color w:val="FF3B45"/>
          <w:sz w:val="19"/>
          <w:szCs w:val="19"/>
        </w:rPr>
        <w:t>Lucens</w:t>
      </w:r>
      <w:proofErr w:type="spellEnd"/>
      <w:r>
        <w:rPr>
          <w:rFonts w:ascii="OpenSans-Regular" w:hAnsi="OpenSans-Regular" w:cs="OpenSans-Regular"/>
          <w:color w:val="FF3B45"/>
          <w:sz w:val="19"/>
          <w:szCs w:val="19"/>
        </w:rPr>
        <w:t>, le 21 janvier 1969 ; il n’a été officiellement dévoilé qu’en 2009, car il n’y avait eu aucune conséquence sanitaire ni environnementale, la centrale ayant été placée en souterrain. Plusieurs petits réacteurs en Europe et trois plus importants en Sibérie, tous souterrains, avaient précédé cette installation, ceux-ci longtemps couverts par un secret absolu, grâce à cette position souterraine. En dépit d’un symposium en 1981, de nombreuses recommandations d’expe</w:t>
      </w:r>
      <w:r w:rsidR="00C10EB2">
        <w:rPr>
          <w:rFonts w:ascii="OpenSans-Regular" w:hAnsi="OpenSans-Regular" w:cs="OpenSans-Regular"/>
          <w:color w:val="FF3B45"/>
          <w:sz w:val="19"/>
          <w:szCs w:val="19"/>
        </w:rPr>
        <w:t xml:space="preserve">rts, et des deux accidents de </w:t>
      </w:r>
      <w:proofErr w:type="spellStart"/>
      <w:r w:rsidR="00C10EB2">
        <w:rPr>
          <w:rFonts w:ascii="OpenSans-Regular" w:hAnsi="OpenSans-Regular" w:cs="OpenSans-Regular"/>
          <w:color w:val="FF3B45"/>
          <w:sz w:val="19"/>
          <w:szCs w:val="19"/>
        </w:rPr>
        <w:t>C</w:t>
      </w:r>
      <w:r>
        <w:rPr>
          <w:rFonts w:ascii="OpenSans-Regular" w:hAnsi="OpenSans-Regular" w:cs="OpenSans-Regular"/>
          <w:color w:val="FF3B45"/>
          <w:sz w:val="19"/>
          <w:szCs w:val="19"/>
        </w:rPr>
        <w:t>hernobyl</w:t>
      </w:r>
      <w:proofErr w:type="spellEnd"/>
      <w:r>
        <w:rPr>
          <w:rFonts w:ascii="OpenSans-Regular" w:hAnsi="OpenSans-Regular" w:cs="OpenSans-Regular"/>
          <w:color w:val="FF3B45"/>
          <w:sz w:val="19"/>
          <w:szCs w:val="19"/>
        </w:rPr>
        <w:t xml:space="preserve"> et Fukushima, cette solution ne semble pas étudiée.</w:t>
      </w:r>
    </w:p>
    <w:p w14:paraId="507D7D2E" w14:textId="77777777" w:rsidR="006B39E5" w:rsidRDefault="006B39E5" w:rsidP="006B39E5">
      <w:pPr>
        <w:autoSpaceDE w:val="0"/>
        <w:autoSpaceDN w:val="0"/>
        <w:adjustRightInd w:val="0"/>
        <w:spacing w:after="0" w:line="240" w:lineRule="auto"/>
        <w:rPr>
          <w:rFonts w:ascii="OpenSans-Extrabold" w:hAnsi="OpenSans-Extrabold" w:cs="OpenSans-Extrabold"/>
          <w:b/>
          <w:sz w:val="18"/>
          <w:szCs w:val="18"/>
        </w:rPr>
      </w:pPr>
    </w:p>
    <w:p w14:paraId="79384020" w14:textId="77777777" w:rsidR="006B39E5" w:rsidRPr="006B39E5" w:rsidRDefault="006B39E5" w:rsidP="006B39E5">
      <w:pPr>
        <w:autoSpaceDE w:val="0"/>
        <w:autoSpaceDN w:val="0"/>
        <w:adjustRightInd w:val="0"/>
        <w:spacing w:after="0" w:line="240" w:lineRule="auto"/>
        <w:rPr>
          <w:rFonts w:ascii="OpenSans-Extrabold" w:hAnsi="OpenSans-Extrabold" w:cs="OpenSans-Extrabold"/>
          <w:b/>
          <w:sz w:val="18"/>
          <w:szCs w:val="18"/>
        </w:rPr>
      </w:pPr>
      <w:r w:rsidRPr="006B39E5">
        <w:rPr>
          <w:rFonts w:ascii="OpenSans-Extrabold" w:hAnsi="OpenSans-Extrabold" w:cs="OpenSans-Extrabold"/>
          <w:b/>
          <w:sz w:val="18"/>
          <w:szCs w:val="18"/>
        </w:rPr>
        <w:t>INTRODUCTION :</w:t>
      </w:r>
      <w:r>
        <w:rPr>
          <w:rFonts w:ascii="OpenSans-Extrabold" w:hAnsi="OpenSans-Extrabold" w:cs="OpenSans-Extrabold"/>
          <w:b/>
          <w:sz w:val="18"/>
          <w:szCs w:val="18"/>
        </w:rPr>
        <w:t xml:space="preserve"> </w:t>
      </w:r>
      <w:r w:rsidRPr="006B39E5">
        <w:rPr>
          <w:rFonts w:ascii="OpenSans-Extrabold" w:hAnsi="OpenSans-Extrabold" w:cs="OpenSans-Extrabold"/>
          <w:b/>
          <w:sz w:val="18"/>
          <w:szCs w:val="18"/>
        </w:rPr>
        <w:t>L’ACCIDENT DE LUCENS</w:t>
      </w:r>
    </w:p>
    <w:p w14:paraId="7E00F379" w14:textId="77777777" w:rsidR="006B39E5" w:rsidRDefault="006B39E5" w:rsidP="006B39E5">
      <w:pPr>
        <w:autoSpaceDE w:val="0"/>
        <w:autoSpaceDN w:val="0"/>
        <w:adjustRightInd w:val="0"/>
        <w:spacing w:after="0" w:line="240" w:lineRule="auto"/>
        <w:rPr>
          <w:rFonts w:ascii="CenturyStd-Light" w:hAnsi="CenturyStd-Light" w:cs="CenturyStd-Light"/>
          <w:color w:val="000000"/>
          <w:sz w:val="18"/>
          <w:szCs w:val="18"/>
        </w:rPr>
      </w:pPr>
    </w:p>
    <w:p w14:paraId="05895FDF" w14:textId="77777777" w:rsidR="006B39E5" w:rsidRDefault="006B39E5" w:rsidP="006B39E5">
      <w:pPr>
        <w:autoSpaceDE w:val="0"/>
        <w:autoSpaceDN w:val="0"/>
        <w:adjustRightInd w:val="0"/>
        <w:spacing w:after="0" w:line="240" w:lineRule="auto"/>
        <w:rPr>
          <w:rFonts w:ascii="CenturyStd-Light" w:hAnsi="CenturyStd-Light" w:cs="CenturyStd-Light"/>
          <w:color w:val="000000"/>
          <w:sz w:val="18"/>
          <w:szCs w:val="18"/>
        </w:rPr>
      </w:pPr>
      <w:r>
        <w:rPr>
          <w:rFonts w:ascii="CenturyStd-Light" w:hAnsi="CenturyStd-Light" w:cs="CenturyStd-Light"/>
          <w:color w:val="000000"/>
          <w:sz w:val="18"/>
          <w:szCs w:val="18"/>
        </w:rPr>
        <w:t xml:space="preserve">Lors de la journée d’études de la SFEN sur les accidents nucléaires, le 10 mai 2017, le panorama présenté n’a pas évoqué l’accident de </w:t>
      </w:r>
      <w:proofErr w:type="spellStart"/>
      <w:r>
        <w:rPr>
          <w:rFonts w:ascii="CenturyStd-Light" w:hAnsi="CenturyStd-Light" w:cs="CenturyStd-Light"/>
          <w:color w:val="000000"/>
          <w:sz w:val="18"/>
          <w:szCs w:val="18"/>
        </w:rPr>
        <w:t>Lucens</w:t>
      </w:r>
      <w:proofErr w:type="spellEnd"/>
      <w:r>
        <w:rPr>
          <w:rFonts w:ascii="CenturyStd-Light" w:hAnsi="CenturyStd-Light" w:cs="CenturyStd-Light"/>
          <w:color w:val="000000"/>
          <w:sz w:val="18"/>
          <w:szCs w:val="18"/>
        </w:rPr>
        <w:t xml:space="preserve">, en Suisse, en 1969, le premier ayant conduit à une fusion partielle du </w:t>
      </w:r>
      <w:proofErr w:type="spellStart"/>
      <w:r>
        <w:rPr>
          <w:rFonts w:ascii="CenturyStd-Light" w:hAnsi="CenturyStd-Light" w:cs="CenturyStd-Light"/>
          <w:color w:val="000000"/>
          <w:sz w:val="18"/>
          <w:szCs w:val="18"/>
        </w:rPr>
        <w:t>coeur</w:t>
      </w:r>
      <w:proofErr w:type="spellEnd"/>
      <w:r>
        <w:rPr>
          <w:rFonts w:ascii="CenturyStd-Light" w:hAnsi="CenturyStd-Light" w:cs="CenturyStd-Light"/>
          <w:color w:val="000000"/>
          <w:sz w:val="18"/>
          <w:szCs w:val="18"/>
        </w:rPr>
        <w:t xml:space="preserve"> du réacteur, longtemps avant ceux de </w:t>
      </w:r>
      <w:proofErr w:type="spellStart"/>
      <w:r>
        <w:rPr>
          <w:rFonts w:ascii="CenturyStd-Light" w:hAnsi="CenturyStd-Light" w:cs="CenturyStd-Light"/>
          <w:color w:val="000000"/>
          <w:sz w:val="18"/>
          <w:szCs w:val="18"/>
        </w:rPr>
        <w:t>Three</w:t>
      </w:r>
      <w:proofErr w:type="spellEnd"/>
      <w:r>
        <w:rPr>
          <w:rFonts w:ascii="CenturyStd-Light" w:hAnsi="CenturyStd-Light" w:cs="CenturyStd-Light"/>
          <w:color w:val="000000"/>
          <w:sz w:val="18"/>
          <w:szCs w:val="18"/>
        </w:rPr>
        <w:t xml:space="preserve"> Mile Island (Pennsylvanie, 1979), Tchernobyl (Ukraine, 1986) et Fukushima (Japon, 2011). La construction avait débuté en</w:t>
      </w:r>
      <w:r w:rsidR="00647A6F">
        <w:rPr>
          <w:rFonts w:ascii="CenturyStd-Light" w:hAnsi="CenturyStd-Light" w:cs="CenturyStd-Light"/>
          <w:color w:val="000000"/>
          <w:sz w:val="18"/>
          <w:szCs w:val="18"/>
        </w:rPr>
        <w:t xml:space="preserve"> </w:t>
      </w:r>
      <w:r>
        <w:rPr>
          <w:rFonts w:ascii="CenturyStd-Light" w:hAnsi="CenturyStd-Light" w:cs="CenturyStd-Light"/>
          <w:color w:val="000000"/>
          <w:sz w:val="18"/>
          <w:szCs w:val="18"/>
        </w:rPr>
        <w:t xml:space="preserve">1962 à </w:t>
      </w:r>
      <w:proofErr w:type="spellStart"/>
      <w:r>
        <w:rPr>
          <w:rFonts w:ascii="CenturyStd-Light" w:hAnsi="CenturyStd-Light" w:cs="CenturyStd-Light"/>
          <w:color w:val="000000"/>
          <w:sz w:val="18"/>
          <w:szCs w:val="18"/>
        </w:rPr>
        <w:t>Lucens</w:t>
      </w:r>
      <w:proofErr w:type="spellEnd"/>
      <w:r>
        <w:rPr>
          <w:rFonts w:ascii="CenturyStd-Light" w:hAnsi="CenturyStd-Light" w:cs="CenturyStd-Light"/>
          <w:color w:val="000000"/>
          <w:sz w:val="18"/>
          <w:szCs w:val="18"/>
        </w:rPr>
        <w:t xml:space="preserve"> (entre Lausanne</w:t>
      </w:r>
      <w:r w:rsidR="00647A6F">
        <w:rPr>
          <w:rFonts w:ascii="CenturyStd-Light" w:hAnsi="CenturyStd-Light" w:cs="CenturyStd-Light"/>
          <w:color w:val="000000"/>
          <w:sz w:val="18"/>
          <w:szCs w:val="18"/>
        </w:rPr>
        <w:t xml:space="preserve"> </w:t>
      </w:r>
      <w:r>
        <w:rPr>
          <w:rFonts w:ascii="CenturyStd-Light" w:hAnsi="CenturyStd-Light" w:cs="CenturyStd-Light"/>
          <w:color w:val="000000"/>
          <w:sz w:val="18"/>
          <w:szCs w:val="18"/>
        </w:rPr>
        <w:t>et Berne) ; un réacteur à eau</w:t>
      </w:r>
      <w:r w:rsidR="00647A6F">
        <w:rPr>
          <w:rFonts w:ascii="CenturyStd-Light" w:hAnsi="CenturyStd-Light" w:cs="CenturyStd-Light"/>
          <w:color w:val="000000"/>
          <w:sz w:val="18"/>
          <w:szCs w:val="18"/>
        </w:rPr>
        <w:t xml:space="preserve"> </w:t>
      </w:r>
      <w:r>
        <w:rPr>
          <w:rFonts w:ascii="CenturyStd-Light" w:hAnsi="CenturyStd-Light" w:cs="CenturyStd-Light"/>
          <w:color w:val="000000"/>
          <w:sz w:val="18"/>
          <w:szCs w:val="18"/>
        </w:rPr>
        <w:t>lourde, refroidi par du dioxyde</w:t>
      </w:r>
      <w:r w:rsidR="00C10EB2">
        <w:rPr>
          <w:rFonts w:ascii="CenturyStd-Light" w:hAnsi="CenturyStd-Light" w:cs="CenturyStd-Light"/>
          <w:color w:val="000000"/>
          <w:sz w:val="18"/>
          <w:szCs w:val="18"/>
        </w:rPr>
        <w:t xml:space="preserve"> </w:t>
      </w:r>
      <w:r>
        <w:rPr>
          <w:rFonts w:ascii="CenturyStd-Light" w:hAnsi="CenturyStd-Light" w:cs="CenturyStd-Light"/>
          <w:color w:val="000000"/>
          <w:sz w:val="18"/>
          <w:szCs w:val="18"/>
        </w:rPr>
        <w:t>de carbone, d’une puissance</w:t>
      </w:r>
      <w:r w:rsidR="00647A6F">
        <w:rPr>
          <w:rFonts w:ascii="CenturyStd-Light" w:hAnsi="CenturyStd-Light" w:cs="CenturyStd-Light"/>
          <w:color w:val="000000"/>
          <w:sz w:val="18"/>
          <w:szCs w:val="18"/>
        </w:rPr>
        <w:t xml:space="preserve"> </w:t>
      </w:r>
      <w:r>
        <w:rPr>
          <w:rFonts w:ascii="CenturyStd-Light" w:hAnsi="CenturyStd-Light" w:cs="CenturyStd-Light"/>
          <w:color w:val="000000"/>
          <w:sz w:val="18"/>
          <w:szCs w:val="18"/>
        </w:rPr>
        <w:t>thermique de 30 MW (puissance</w:t>
      </w:r>
      <w:r w:rsidR="00647A6F">
        <w:rPr>
          <w:rFonts w:ascii="CenturyStd-Light" w:hAnsi="CenturyStd-Light" w:cs="CenturyStd-Light"/>
          <w:color w:val="000000"/>
          <w:sz w:val="18"/>
          <w:szCs w:val="18"/>
        </w:rPr>
        <w:t xml:space="preserve"> </w:t>
      </w:r>
      <w:r>
        <w:rPr>
          <w:rFonts w:ascii="CenturyStd-Light" w:hAnsi="CenturyStd-Light" w:cs="CenturyStd-Light"/>
          <w:color w:val="000000"/>
          <w:sz w:val="18"/>
          <w:szCs w:val="18"/>
        </w:rPr>
        <w:t>électrique 6 MW), a été placé dans</w:t>
      </w:r>
      <w:r w:rsidR="00647A6F">
        <w:rPr>
          <w:rFonts w:ascii="CenturyStd-Light" w:hAnsi="CenturyStd-Light" w:cs="CenturyStd-Light"/>
          <w:color w:val="000000"/>
          <w:sz w:val="18"/>
          <w:szCs w:val="18"/>
        </w:rPr>
        <w:t xml:space="preserve"> </w:t>
      </w:r>
      <w:r>
        <w:rPr>
          <w:rFonts w:ascii="CenturyStd-Light" w:hAnsi="CenturyStd-Light" w:cs="CenturyStd-Light"/>
          <w:color w:val="000000"/>
          <w:sz w:val="18"/>
          <w:szCs w:val="18"/>
        </w:rPr>
        <w:t>une caverne en cylindre vertical de</w:t>
      </w:r>
      <w:r w:rsidR="00647A6F">
        <w:rPr>
          <w:rFonts w:ascii="CenturyStd-Light" w:hAnsi="CenturyStd-Light" w:cs="CenturyStd-Light"/>
          <w:color w:val="000000"/>
          <w:sz w:val="18"/>
          <w:szCs w:val="18"/>
        </w:rPr>
        <w:t xml:space="preserve"> </w:t>
      </w:r>
      <w:r>
        <w:rPr>
          <w:rFonts w:ascii="CenturyStd-Light" w:hAnsi="CenturyStd-Light" w:cs="CenturyStd-Light"/>
          <w:color w:val="000000"/>
          <w:sz w:val="18"/>
          <w:szCs w:val="18"/>
        </w:rPr>
        <w:t>20 m de diamètre et d’une hauteur</w:t>
      </w:r>
      <w:r w:rsidR="00647A6F">
        <w:rPr>
          <w:rFonts w:ascii="CenturyStd-Light" w:hAnsi="CenturyStd-Light" w:cs="CenturyStd-Light"/>
          <w:color w:val="000000"/>
          <w:sz w:val="18"/>
          <w:szCs w:val="18"/>
        </w:rPr>
        <w:t xml:space="preserve"> </w:t>
      </w:r>
      <w:r>
        <w:rPr>
          <w:rFonts w:ascii="CenturyStd-Light" w:hAnsi="CenturyStd-Light" w:cs="CenturyStd-Light"/>
          <w:color w:val="000000"/>
          <w:sz w:val="18"/>
          <w:szCs w:val="18"/>
        </w:rPr>
        <w:t>de 25 m. La figure 1 montre</w:t>
      </w:r>
      <w:r w:rsidR="00647A6F">
        <w:rPr>
          <w:rFonts w:ascii="CenturyStd-Light" w:hAnsi="CenturyStd-Light" w:cs="CenturyStd-Light"/>
          <w:color w:val="000000"/>
          <w:sz w:val="18"/>
          <w:szCs w:val="18"/>
        </w:rPr>
        <w:t xml:space="preserve"> </w:t>
      </w:r>
      <w:r>
        <w:rPr>
          <w:rFonts w:ascii="CenturyStd-Light" w:hAnsi="CenturyStd-Light" w:cs="CenturyStd-Light"/>
          <w:color w:val="000000"/>
          <w:sz w:val="18"/>
          <w:szCs w:val="18"/>
        </w:rPr>
        <w:t>de droite à gauche la caverne</w:t>
      </w:r>
      <w:r w:rsidR="00647A6F">
        <w:rPr>
          <w:rFonts w:ascii="CenturyStd-Light" w:hAnsi="CenturyStd-Light" w:cs="CenturyStd-Light"/>
          <w:color w:val="000000"/>
          <w:sz w:val="18"/>
          <w:szCs w:val="18"/>
        </w:rPr>
        <w:t xml:space="preserve"> </w:t>
      </w:r>
      <w:r>
        <w:rPr>
          <w:rFonts w:ascii="CenturyStd-Light" w:hAnsi="CenturyStd-Light" w:cs="CenturyStd-Light"/>
          <w:color w:val="000000"/>
          <w:sz w:val="18"/>
          <w:szCs w:val="18"/>
        </w:rPr>
        <w:t>réacteur, une caverne allongée</w:t>
      </w:r>
      <w:r w:rsidR="00647A6F">
        <w:rPr>
          <w:rFonts w:ascii="CenturyStd-Light" w:hAnsi="CenturyStd-Light" w:cs="CenturyStd-Light"/>
          <w:color w:val="000000"/>
          <w:sz w:val="18"/>
          <w:szCs w:val="18"/>
        </w:rPr>
        <w:t xml:space="preserve"> </w:t>
      </w:r>
      <w:r>
        <w:rPr>
          <w:rFonts w:ascii="CenturyStd-Light" w:hAnsi="CenturyStd-Light" w:cs="CenturyStd-Light"/>
          <w:color w:val="000000"/>
          <w:sz w:val="18"/>
          <w:szCs w:val="18"/>
        </w:rPr>
        <w:t>analogue à celle d’une centrale</w:t>
      </w:r>
      <w:r w:rsidR="00647A6F">
        <w:rPr>
          <w:rFonts w:ascii="CenturyStd-Light" w:hAnsi="CenturyStd-Light" w:cs="CenturyStd-Light"/>
          <w:color w:val="000000"/>
          <w:sz w:val="18"/>
          <w:szCs w:val="18"/>
        </w:rPr>
        <w:t xml:space="preserve"> </w:t>
      </w:r>
      <w:r>
        <w:rPr>
          <w:rFonts w:ascii="CenturyStd-Light" w:hAnsi="CenturyStd-Light" w:cs="CenturyStd-Light"/>
          <w:color w:val="000000"/>
          <w:sz w:val="18"/>
          <w:szCs w:val="18"/>
        </w:rPr>
        <w:t>hydroélectrique qui accueillait</w:t>
      </w:r>
      <w:r w:rsidR="00647A6F">
        <w:rPr>
          <w:rFonts w:ascii="CenturyStd-Light" w:hAnsi="CenturyStd-Light" w:cs="CenturyStd-Light"/>
          <w:color w:val="000000"/>
          <w:sz w:val="18"/>
          <w:szCs w:val="18"/>
        </w:rPr>
        <w:t xml:space="preserve"> </w:t>
      </w:r>
      <w:r>
        <w:rPr>
          <w:rFonts w:ascii="CenturyStd-Light" w:hAnsi="CenturyStd-Light" w:cs="CenturyStd-Light"/>
          <w:color w:val="000000"/>
          <w:sz w:val="18"/>
          <w:szCs w:val="18"/>
        </w:rPr>
        <w:t>turbines et alternateurs, puis les</w:t>
      </w:r>
      <w:r w:rsidR="00647A6F">
        <w:rPr>
          <w:rFonts w:ascii="CenturyStd-Light" w:hAnsi="CenturyStd-Light" w:cs="CenturyStd-Light"/>
          <w:color w:val="000000"/>
          <w:sz w:val="18"/>
          <w:szCs w:val="18"/>
        </w:rPr>
        <w:t xml:space="preserve"> </w:t>
      </w:r>
      <w:r>
        <w:rPr>
          <w:rFonts w:ascii="CenturyStd-Light" w:hAnsi="CenturyStd-Light" w:cs="CenturyStd-Light"/>
          <w:color w:val="000000"/>
          <w:sz w:val="18"/>
          <w:szCs w:val="18"/>
        </w:rPr>
        <w:t>bureaux et ateliers en surface au</w:t>
      </w:r>
      <w:r w:rsidR="00647A6F">
        <w:rPr>
          <w:rFonts w:ascii="CenturyStd-Light" w:hAnsi="CenturyStd-Light" w:cs="CenturyStd-Light"/>
          <w:color w:val="000000"/>
          <w:sz w:val="18"/>
          <w:szCs w:val="18"/>
        </w:rPr>
        <w:t xml:space="preserve"> </w:t>
      </w:r>
      <w:r>
        <w:rPr>
          <w:rFonts w:ascii="CenturyStd-Light" w:hAnsi="CenturyStd-Light" w:cs="CenturyStd-Light"/>
          <w:color w:val="000000"/>
          <w:sz w:val="18"/>
          <w:szCs w:val="18"/>
        </w:rPr>
        <w:t>pied de la colline, à faible distance</w:t>
      </w:r>
      <w:r w:rsidR="00647A6F">
        <w:rPr>
          <w:rFonts w:ascii="CenturyStd-Light" w:hAnsi="CenturyStd-Light" w:cs="CenturyStd-Light"/>
          <w:color w:val="000000"/>
          <w:sz w:val="18"/>
          <w:szCs w:val="18"/>
        </w:rPr>
        <w:t xml:space="preserve"> </w:t>
      </w:r>
      <w:r>
        <w:rPr>
          <w:rFonts w:ascii="CenturyStd-Light" w:hAnsi="CenturyStd-Light" w:cs="CenturyStd-Light"/>
          <w:color w:val="000000"/>
          <w:sz w:val="18"/>
          <w:szCs w:val="18"/>
        </w:rPr>
        <w:t>du cours d’eau qui fournit la source</w:t>
      </w:r>
      <w:r w:rsidR="00647A6F">
        <w:rPr>
          <w:rFonts w:ascii="CenturyStd-Light" w:hAnsi="CenturyStd-Light" w:cs="CenturyStd-Light"/>
          <w:color w:val="000000"/>
          <w:sz w:val="18"/>
          <w:szCs w:val="18"/>
        </w:rPr>
        <w:t xml:space="preserve"> </w:t>
      </w:r>
      <w:r>
        <w:rPr>
          <w:rFonts w:ascii="CenturyStd-Light" w:hAnsi="CenturyStd-Light" w:cs="CenturyStd-Light"/>
          <w:color w:val="000000"/>
          <w:sz w:val="18"/>
          <w:szCs w:val="18"/>
        </w:rPr>
        <w:t>froide</w:t>
      </w:r>
      <w:r w:rsidR="00647A6F">
        <w:rPr>
          <w:rFonts w:ascii="CenturyStd-Light" w:hAnsi="CenturyStd-Light" w:cs="CenturyStd-Light"/>
          <w:color w:val="000000"/>
          <w:sz w:val="18"/>
          <w:szCs w:val="18"/>
        </w:rPr>
        <w:t xml:space="preserve"> </w:t>
      </w:r>
      <w:r>
        <w:rPr>
          <w:rFonts w:ascii="CenturyStd-Light" w:hAnsi="CenturyStd-Light" w:cs="CenturyStd-Light"/>
          <w:color w:val="000000"/>
          <w:sz w:val="18"/>
          <w:szCs w:val="18"/>
        </w:rPr>
        <w:t>Si cet accident, survenu après une</w:t>
      </w:r>
      <w:r w:rsidR="00C10EB2">
        <w:rPr>
          <w:rFonts w:ascii="CenturyStd-Light" w:hAnsi="CenturyStd-Light" w:cs="CenturyStd-Light"/>
          <w:color w:val="000000"/>
          <w:sz w:val="18"/>
          <w:szCs w:val="18"/>
        </w:rPr>
        <w:t xml:space="preserve"> </w:t>
      </w:r>
      <w:r>
        <w:rPr>
          <w:rFonts w:ascii="CenturyStd-Light" w:hAnsi="CenturyStd-Light" w:cs="CenturyStd-Light"/>
          <w:color w:val="000000"/>
          <w:sz w:val="18"/>
          <w:szCs w:val="18"/>
        </w:rPr>
        <w:t>période de mise à l’arrêt, n’a pas</w:t>
      </w:r>
      <w:r w:rsidR="00647A6F">
        <w:rPr>
          <w:rFonts w:ascii="CenturyStd-Light" w:hAnsi="CenturyStd-Light" w:cs="CenturyStd-Light"/>
          <w:color w:val="000000"/>
          <w:sz w:val="18"/>
          <w:szCs w:val="18"/>
        </w:rPr>
        <w:t xml:space="preserve"> </w:t>
      </w:r>
      <w:r>
        <w:rPr>
          <w:rFonts w:ascii="CenturyStd-Light" w:hAnsi="CenturyStd-Light" w:cs="CenturyStd-Light"/>
          <w:color w:val="000000"/>
          <w:sz w:val="18"/>
          <w:szCs w:val="18"/>
        </w:rPr>
        <w:t>échappé à la communauté nucléaire</w:t>
      </w:r>
      <w:r w:rsidR="00647A6F">
        <w:rPr>
          <w:rFonts w:ascii="CenturyStd-Light" w:hAnsi="CenturyStd-Light" w:cs="CenturyStd-Light"/>
          <w:color w:val="000000"/>
          <w:sz w:val="18"/>
          <w:szCs w:val="18"/>
        </w:rPr>
        <w:t xml:space="preserve"> </w:t>
      </w:r>
      <w:r>
        <w:rPr>
          <w:rFonts w:ascii="CenturyStd-Light" w:hAnsi="CenturyStd-Light" w:cs="CenturyStd-Light"/>
          <w:color w:val="000000"/>
          <w:sz w:val="18"/>
          <w:szCs w:val="18"/>
        </w:rPr>
        <w:t>internationale, il n’a été dévoilé à</w:t>
      </w:r>
      <w:r w:rsidR="00647A6F">
        <w:rPr>
          <w:rFonts w:ascii="CenturyStd-Light" w:hAnsi="CenturyStd-Light" w:cs="CenturyStd-Light"/>
          <w:color w:val="000000"/>
          <w:sz w:val="18"/>
          <w:szCs w:val="18"/>
        </w:rPr>
        <w:t xml:space="preserve"> </w:t>
      </w:r>
      <w:r>
        <w:rPr>
          <w:rFonts w:ascii="CenturyStd-Light" w:hAnsi="CenturyStd-Light" w:cs="CenturyStd-Light"/>
          <w:color w:val="000000"/>
          <w:sz w:val="18"/>
          <w:szCs w:val="18"/>
        </w:rPr>
        <w:t>la presse et donc à l’ensemble de</w:t>
      </w:r>
      <w:r w:rsidR="00647A6F">
        <w:rPr>
          <w:rFonts w:ascii="CenturyStd-Light" w:hAnsi="CenturyStd-Light" w:cs="CenturyStd-Light"/>
          <w:color w:val="000000"/>
          <w:sz w:val="18"/>
          <w:szCs w:val="18"/>
        </w:rPr>
        <w:t xml:space="preserve"> </w:t>
      </w:r>
      <w:r>
        <w:rPr>
          <w:rFonts w:ascii="CenturyStd-Light" w:hAnsi="CenturyStd-Light" w:cs="CenturyStd-Light"/>
          <w:color w:val="000000"/>
          <w:sz w:val="18"/>
          <w:szCs w:val="18"/>
        </w:rPr>
        <w:t>la population suisse que quarante</w:t>
      </w:r>
      <w:r w:rsidR="00647A6F">
        <w:rPr>
          <w:rFonts w:ascii="CenturyStd-Light" w:hAnsi="CenturyStd-Light" w:cs="CenturyStd-Light"/>
          <w:color w:val="000000"/>
          <w:sz w:val="18"/>
          <w:szCs w:val="18"/>
        </w:rPr>
        <w:t xml:space="preserve"> </w:t>
      </w:r>
      <w:r>
        <w:rPr>
          <w:rFonts w:ascii="CenturyStd-Light" w:hAnsi="CenturyStd-Light" w:cs="CenturyStd-Light"/>
          <w:color w:val="000000"/>
          <w:sz w:val="18"/>
          <w:szCs w:val="18"/>
        </w:rPr>
        <w:t>ans plus tard ! C’est dire qu’il n’avait</w:t>
      </w:r>
      <w:r w:rsidR="00647A6F">
        <w:rPr>
          <w:rFonts w:ascii="CenturyStd-Light" w:hAnsi="CenturyStd-Light" w:cs="CenturyStd-Light"/>
          <w:color w:val="000000"/>
          <w:sz w:val="18"/>
          <w:szCs w:val="18"/>
        </w:rPr>
        <w:t xml:space="preserve"> </w:t>
      </w:r>
      <w:r>
        <w:rPr>
          <w:rFonts w:ascii="CenturyStd-Light" w:hAnsi="CenturyStd-Light" w:cs="CenturyStd-Light"/>
          <w:color w:val="000000"/>
          <w:sz w:val="18"/>
          <w:szCs w:val="18"/>
        </w:rPr>
        <w:t>donné lieu à aucune évacuation</w:t>
      </w:r>
      <w:r w:rsidR="00C10EB2">
        <w:rPr>
          <w:rFonts w:ascii="CenturyStd-Light" w:hAnsi="CenturyStd-Light" w:cs="CenturyStd-Light"/>
          <w:color w:val="000000"/>
          <w:sz w:val="18"/>
          <w:szCs w:val="18"/>
        </w:rPr>
        <w:t xml:space="preserve"> </w:t>
      </w:r>
      <w:r>
        <w:rPr>
          <w:rFonts w:ascii="CenturyStd-Light" w:hAnsi="CenturyStd-Light" w:cs="CenturyStd-Light"/>
          <w:color w:val="000000"/>
          <w:sz w:val="18"/>
          <w:szCs w:val="18"/>
        </w:rPr>
        <w:t>de population, aucune de ces</w:t>
      </w:r>
      <w:r w:rsidR="00647A6F">
        <w:rPr>
          <w:rFonts w:ascii="CenturyStd-Light" w:hAnsi="CenturyStd-Light" w:cs="CenturyStd-Light"/>
          <w:color w:val="000000"/>
          <w:sz w:val="18"/>
          <w:szCs w:val="18"/>
        </w:rPr>
        <w:t xml:space="preserve"> </w:t>
      </w:r>
      <w:r>
        <w:rPr>
          <w:rFonts w:ascii="CenturyStd-Light" w:hAnsi="CenturyStd-Light" w:cs="CenturyStd-Light"/>
          <w:color w:val="000000"/>
          <w:sz w:val="18"/>
          <w:szCs w:val="18"/>
        </w:rPr>
        <w:t>restrictions sur la consommation</w:t>
      </w:r>
      <w:r w:rsidR="00647A6F">
        <w:rPr>
          <w:rFonts w:ascii="CenturyStd-Light" w:hAnsi="CenturyStd-Light" w:cs="CenturyStd-Light"/>
          <w:color w:val="000000"/>
          <w:sz w:val="18"/>
          <w:szCs w:val="18"/>
        </w:rPr>
        <w:t xml:space="preserve"> </w:t>
      </w:r>
      <w:r>
        <w:rPr>
          <w:rFonts w:ascii="CenturyStd-Light" w:hAnsi="CenturyStd-Light" w:cs="CenturyStd-Light"/>
          <w:color w:val="000000"/>
          <w:sz w:val="18"/>
          <w:szCs w:val="18"/>
        </w:rPr>
        <w:t>des produits agricoles qu’on a</w:t>
      </w:r>
      <w:r w:rsidR="00647A6F">
        <w:rPr>
          <w:rFonts w:ascii="CenturyStd-Light" w:hAnsi="CenturyStd-Light" w:cs="CenturyStd-Light"/>
          <w:color w:val="000000"/>
          <w:sz w:val="18"/>
          <w:szCs w:val="18"/>
        </w:rPr>
        <w:t xml:space="preserve"> </w:t>
      </w:r>
      <w:r>
        <w:rPr>
          <w:rFonts w:ascii="CenturyStd-Light" w:hAnsi="CenturyStd-Light" w:cs="CenturyStd-Light"/>
          <w:color w:val="000000"/>
          <w:sz w:val="18"/>
          <w:szCs w:val="18"/>
        </w:rPr>
        <w:t>connues ailleurs plus tard, ni même</w:t>
      </w:r>
      <w:r w:rsidR="00F42609">
        <w:rPr>
          <w:rFonts w:ascii="CenturyStd-Light" w:hAnsi="CenturyStd-Light" w:cs="CenturyStd-Light"/>
          <w:color w:val="000000"/>
          <w:sz w:val="18"/>
          <w:szCs w:val="18"/>
        </w:rPr>
        <w:t xml:space="preserve"> </w:t>
      </w:r>
      <w:r>
        <w:rPr>
          <w:rFonts w:ascii="CenturyStd-Light" w:hAnsi="CenturyStd-Light" w:cs="CenturyStd-Light"/>
          <w:color w:val="000000"/>
          <w:sz w:val="18"/>
          <w:szCs w:val="18"/>
        </w:rPr>
        <w:t>à aucune conséquence sanitaire</w:t>
      </w:r>
      <w:r w:rsidR="00F42609">
        <w:rPr>
          <w:rFonts w:ascii="CenturyStd-Light" w:hAnsi="CenturyStd-Light" w:cs="CenturyStd-Light"/>
          <w:color w:val="000000"/>
          <w:sz w:val="18"/>
          <w:szCs w:val="18"/>
        </w:rPr>
        <w:t xml:space="preserve"> </w:t>
      </w:r>
      <w:r>
        <w:rPr>
          <w:rFonts w:ascii="CenturyStd-Light" w:hAnsi="CenturyStd-Light" w:cs="CenturyStd-Light"/>
          <w:color w:val="000000"/>
          <w:sz w:val="18"/>
          <w:szCs w:val="18"/>
        </w:rPr>
        <w:t>sur le personnel d’exploitation.</w:t>
      </w:r>
    </w:p>
    <w:p w14:paraId="022FABAF" w14:textId="77777777" w:rsidR="00C10EB2" w:rsidRDefault="00C10EB2" w:rsidP="006B39E5">
      <w:pPr>
        <w:autoSpaceDE w:val="0"/>
        <w:autoSpaceDN w:val="0"/>
        <w:adjustRightInd w:val="0"/>
        <w:spacing w:after="0" w:line="240" w:lineRule="auto"/>
        <w:rPr>
          <w:rFonts w:ascii="CenturyStd-Light" w:hAnsi="CenturyStd-Light" w:cs="CenturyStd-Light"/>
          <w:color w:val="000000"/>
          <w:sz w:val="18"/>
          <w:szCs w:val="18"/>
        </w:rPr>
      </w:pPr>
    </w:p>
    <w:p w14:paraId="79D9F87E" w14:textId="77777777" w:rsidR="006B39E5" w:rsidRDefault="006B39E5" w:rsidP="006B39E5">
      <w:pPr>
        <w:autoSpaceDE w:val="0"/>
        <w:autoSpaceDN w:val="0"/>
        <w:adjustRightInd w:val="0"/>
        <w:spacing w:after="0" w:line="240" w:lineRule="auto"/>
        <w:rPr>
          <w:rFonts w:ascii="CenturyStd-Light" w:hAnsi="CenturyStd-Light" w:cs="CenturyStd-Light"/>
          <w:color w:val="000000"/>
          <w:sz w:val="18"/>
          <w:szCs w:val="18"/>
        </w:rPr>
      </w:pPr>
      <w:r>
        <w:rPr>
          <w:rFonts w:ascii="CenturyStd-Light" w:hAnsi="CenturyStd-Light" w:cs="CenturyStd-Light"/>
          <w:color w:val="000000"/>
          <w:sz w:val="18"/>
          <w:szCs w:val="18"/>
        </w:rPr>
        <w:t>En effet, le réacteur était dans</w:t>
      </w:r>
      <w:r w:rsidR="00F42609">
        <w:rPr>
          <w:rFonts w:ascii="CenturyStd-Light" w:hAnsi="CenturyStd-Light" w:cs="CenturyStd-Light"/>
          <w:color w:val="000000"/>
          <w:sz w:val="18"/>
          <w:szCs w:val="18"/>
        </w:rPr>
        <w:t xml:space="preserve"> </w:t>
      </w:r>
      <w:r>
        <w:rPr>
          <w:rFonts w:ascii="CenturyStd-Light" w:hAnsi="CenturyStd-Light" w:cs="CenturyStd-Light"/>
          <w:color w:val="000000"/>
          <w:sz w:val="18"/>
          <w:szCs w:val="18"/>
        </w:rPr>
        <w:t>une cavité souterraine et aucune</w:t>
      </w:r>
      <w:r w:rsidR="00F42609">
        <w:rPr>
          <w:rFonts w:ascii="CenturyStd-Light" w:hAnsi="CenturyStd-Light" w:cs="CenturyStd-Light"/>
          <w:color w:val="000000"/>
          <w:sz w:val="18"/>
          <w:szCs w:val="18"/>
        </w:rPr>
        <w:t xml:space="preserve"> </w:t>
      </w:r>
      <w:r>
        <w:rPr>
          <w:rFonts w:ascii="CenturyStd-Light" w:hAnsi="CenturyStd-Light" w:cs="CenturyStd-Light"/>
          <w:color w:val="000000"/>
          <w:sz w:val="18"/>
          <w:szCs w:val="18"/>
        </w:rPr>
        <w:t>radioactivité n’avait pu s’en</w:t>
      </w:r>
      <w:r w:rsidR="00F42609">
        <w:rPr>
          <w:rFonts w:ascii="CenturyStd-Light" w:hAnsi="CenturyStd-Light" w:cs="CenturyStd-Light"/>
          <w:color w:val="000000"/>
          <w:sz w:val="18"/>
          <w:szCs w:val="18"/>
        </w:rPr>
        <w:t xml:space="preserve"> </w:t>
      </w:r>
      <w:r>
        <w:rPr>
          <w:rFonts w:ascii="CenturyStd-Light" w:hAnsi="CenturyStd-Light" w:cs="CenturyStd-Light"/>
          <w:color w:val="000000"/>
          <w:sz w:val="18"/>
          <w:szCs w:val="18"/>
        </w:rPr>
        <w:t>échapper. La caverne a été depuis</w:t>
      </w:r>
      <w:r w:rsidR="00C10EB2">
        <w:rPr>
          <w:rFonts w:ascii="CenturyStd-Light" w:hAnsi="CenturyStd-Light" w:cs="CenturyStd-Light"/>
          <w:color w:val="000000"/>
          <w:sz w:val="18"/>
          <w:szCs w:val="18"/>
        </w:rPr>
        <w:t xml:space="preserve"> </w:t>
      </w:r>
      <w:r>
        <w:rPr>
          <w:rFonts w:ascii="CenturyStd-Light" w:hAnsi="CenturyStd-Light" w:cs="CenturyStd-Light"/>
          <w:color w:val="000000"/>
          <w:sz w:val="18"/>
          <w:szCs w:val="18"/>
        </w:rPr>
        <w:t>remplie de béton, et oubliée.</w:t>
      </w:r>
      <w:r w:rsidR="00F42609">
        <w:rPr>
          <w:rFonts w:ascii="CenturyStd-Light" w:hAnsi="CenturyStd-Light" w:cs="CenturyStd-Light"/>
          <w:color w:val="000000"/>
          <w:sz w:val="18"/>
          <w:szCs w:val="18"/>
        </w:rPr>
        <w:t xml:space="preserve"> </w:t>
      </w:r>
      <w:r>
        <w:rPr>
          <w:rFonts w:ascii="CenturyStd-Light" w:hAnsi="CenturyStd-Light" w:cs="CenturyStd-Light"/>
          <w:color w:val="000000"/>
          <w:sz w:val="18"/>
          <w:szCs w:val="18"/>
        </w:rPr>
        <w:t>Plusieurs petits réacteurs avaient</w:t>
      </w:r>
      <w:r w:rsidR="00F42609">
        <w:rPr>
          <w:rFonts w:ascii="CenturyStd-Light" w:hAnsi="CenturyStd-Light" w:cs="CenturyStd-Light"/>
          <w:color w:val="000000"/>
          <w:sz w:val="18"/>
          <w:szCs w:val="18"/>
        </w:rPr>
        <w:t xml:space="preserve"> </w:t>
      </w:r>
      <w:r>
        <w:rPr>
          <w:rFonts w:ascii="CenturyStd-Light" w:hAnsi="CenturyStd-Light" w:cs="CenturyStd-Light"/>
          <w:color w:val="000000"/>
          <w:sz w:val="18"/>
          <w:szCs w:val="18"/>
        </w:rPr>
        <w:t>été placés en souterrain peu avant</w:t>
      </w:r>
      <w:r w:rsidR="00F42609">
        <w:rPr>
          <w:rFonts w:ascii="CenturyStd-Light" w:hAnsi="CenturyStd-Light" w:cs="CenturyStd-Light"/>
          <w:color w:val="000000"/>
          <w:sz w:val="18"/>
          <w:szCs w:val="18"/>
        </w:rPr>
        <w:t xml:space="preserve"> </w:t>
      </w:r>
      <w:r>
        <w:rPr>
          <w:rFonts w:ascii="CenturyStd-Light" w:hAnsi="CenturyStd-Light" w:cs="CenturyStd-Light"/>
          <w:color w:val="000000"/>
          <w:sz w:val="18"/>
          <w:szCs w:val="18"/>
        </w:rPr>
        <w:t xml:space="preserve">celui de </w:t>
      </w:r>
      <w:proofErr w:type="spellStart"/>
      <w:r>
        <w:rPr>
          <w:rFonts w:ascii="CenturyStd-Light" w:hAnsi="CenturyStd-Light" w:cs="CenturyStd-Light"/>
          <w:color w:val="000000"/>
          <w:sz w:val="18"/>
          <w:szCs w:val="18"/>
        </w:rPr>
        <w:t>Lucens</w:t>
      </w:r>
      <w:proofErr w:type="spellEnd"/>
      <w:r>
        <w:rPr>
          <w:rFonts w:ascii="CenturyStd-Light" w:hAnsi="CenturyStd-Light" w:cs="CenturyStd-Light"/>
          <w:color w:val="000000"/>
          <w:sz w:val="18"/>
          <w:szCs w:val="18"/>
        </w:rPr>
        <w:t>, de façon officielle</w:t>
      </w:r>
      <w:r w:rsidR="00F42609">
        <w:rPr>
          <w:rFonts w:ascii="CenturyStd-Light" w:hAnsi="CenturyStd-Light" w:cs="CenturyStd-Light"/>
          <w:color w:val="000000"/>
          <w:sz w:val="18"/>
          <w:szCs w:val="18"/>
        </w:rPr>
        <w:t xml:space="preserve"> </w:t>
      </w:r>
      <w:r>
        <w:rPr>
          <w:rFonts w:ascii="CenturyStd-Light" w:hAnsi="CenturyStd-Light" w:cs="CenturyStd-Light"/>
          <w:color w:val="000000"/>
          <w:sz w:val="18"/>
          <w:szCs w:val="18"/>
        </w:rPr>
        <w:t>en Scandinavie et en France,</w:t>
      </w:r>
      <w:r w:rsidR="00F42609">
        <w:rPr>
          <w:rFonts w:ascii="CenturyStd-Light" w:hAnsi="CenturyStd-Light" w:cs="CenturyStd-Light"/>
          <w:color w:val="000000"/>
          <w:sz w:val="18"/>
          <w:szCs w:val="18"/>
        </w:rPr>
        <w:t xml:space="preserve"> </w:t>
      </w:r>
      <w:r>
        <w:rPr>
          <w:rFonts w:ascii="CenturyStd-Light" w:hAnsi="CenturyStd-Light" w:cs="CenturyStd-Light"/>
          <w:color w:val="000000"/>
          <w:sz w:val="18"/>
          <w:szCs w:val="18"/>
        </w:rPr>
        <w:t>où Chooz A apparaît comme la</w:t>
      </w:r>
      <w:r w:rsidR="00F42609">
        <w:rPr>
          <w:rFonts w:ascii="CenturyStd-Light" w:hAnsi="CenturyStd-Light" w:cs="CenturyStd-Light"/>
          <w:color w:val="000000"/>
          <w:sz w:val="18"/>
          <w:szCs w:val="18"/>
        </w:rPr>
        <w:t xml:space="preserve"> </w:t>
      </w:r>
      <w:r>
        <w:rPr>
          <w:rFonts w:ascii="CenturyStd-Light" w:hAnsi="CenturyStd-Light" w:cs="CenturyStd-Light"/>
          <w:color w:val="000000"/>
          <w:sz w:val="18"/>
          <w:szCs w:val="18"/>
        </w:rPr>
        <w:t>tête de série du parc français de</w:t>
      </w:r>
      <w:r w:rsidR="00F42609">
        <w:rPr>
          <w:rFonts w:ascii="CenturyStd-Light" w:hAnsi="CenturyStd-Light" w:cs="CenturyStd-Light"/>
          <w:color w:val="000000"/>
          <w:sz w:val="18"/>
          <w:szCs w:val="18"/>
        </w:rPr>
        <w:t xml:space="preserve"> </w:t>
      </w:r>
      <w:r>
        <w:rPr>
          <w:rFonts w:ascii="CenturyStd-Light" w:hAnsi="CenturyStd-Light" w:cs="CenturyStd-Light"/>
          <w:color w:val="000000"/>
          <w:sz w:val="18"/>
          <w:szCs w:val="18"/>
        </w:rPr>
        <w:t>réacteurs à eau pressurisée (mise</w:t>
      </w:r>
      <w:r w:rsidR="00F42609">
        <w:rPr>
          <w:rFonts w:ascii="CenturyStd-Light" w:hAnsi="CenturyStd-Light" w:cs="CenturyStd-Light"/>
          <w:color w:val="000000"/>
          <w:sz w:val="18"/>
          <w:szCs w:val="18"/>
        </w:rPr>
        <w:t xml:space="preserve"> </w:t>
      </w:r>
      <w:r>
        <w:rPr>
          <w:rFonts w:ascii="CenturyStd-Light" w:hAnsi="CenturyStd-Light" w:cs="CenturyStd-Light"/>
          <w:color w:val="000000"/>
          <w:sz w:val="18"/>
          <w:szCs w:val="18"/>
        </w:rPr>
        <w:t>en service en 1967, avec une</w:t>
      </w:r>
      <w:r w:rsidR="00F42609">
        <w:rPr>
          <w:rFonts w:ascii="CenturyStd-Light" w:hAnsi="CenturyStd-Light" w:cs="CenturyStd-Light"/>
          <w:color w:val="000000"/>
          <w:sz w:val="18"/>
          <w:szCs w:val="18"/>
        </w:rPr>
        <w:t xml:space="preserve"> </w:t>
      </w:r>
      <w:r>
        <w:rPr>
          <w:rFonts w:ascii="CenturyStd-Light" w:hAnsi="CenturyStd-Light" w:cs="CenturyStd-Light"/>
          <w:color w:val="000000"/>
          <w:sz w:val="18"/>
          <w:szCs w:val="18"/>
        </w:rPr>
        <w:t>puissance électrique de 305 MW,</w:t>
      </w:r>
      <w:r w:rsidR="00F42609">
        <w:rPr>
          <w:rFonts w:ascii="CenturyStd-Light" w:hAnsi="CenturyStd-Light" w:cs="CenturyStd-Light"/>
          <w:color w:val="000000"/>
          <w:sz w:val="18"/>
          <w:szCs w:val="18"/>
        </w:rPr>
        <w:t xml:space="preserve"> </w:t>
      </w:r>
      <w:r>
        <w:rPr>
          <w:rFonts w:ascii="CenturyStd-Light" w:hAnsi="CenturyStd-Light" w:cs="CenturyStd-Light"/>
          <w:color w:val="000000"/>
          <w:sz w:val="18"/>
          <w:szCs w:val="18"/>
        </w:rPr>
        <w:t>elle a fourni 19 TWh jusqu’à son</w:t>
      </w:r>
      <w:r w:rsidR="00F42609">
        <w:rPr>
          <w:rFonts w:ascii="CenturyStd-Light" w:hAnsi="CenturyStd-Light" w:cs="CenturyStd-Light"/>
          <w:color w:val="000000"/>
          <w:sz w:val="18"/>
          <w:szCs w:val="18"/>
        </w:rPr>
        <w:t xml:space="preserve"> </w:t>
      </w:r>
      <w:r>
        <w:rPr>
          <w:rFonts w:ascii="CenturyStd-Light" w:hAnsi="CenturyStd-Light" w:cs="CenturyStd-Light"/>
          <w:color w:val="000000"/>
          <w:sz w:val="18"/>
          <w:szCs w:val="18"/>
        </w:rPr>
        <w:t>arrêt en 1991 ; elle est en cours de</w:t>
      </w:r>
      <w:r w:rsidR="00F42609">
        <w:rPr>
          <w:rFonts w:ascii="CenturyStd-Light" w:hAnsi="CenturyStd-Light" w:cs="CenturyStd-Light"/>
          <w:color w:val="000000"/>
          <w:sz w:val="18"/>
          <w:szCs w:val="18"/>
        </w:rPr>
        <w:t xml:space="preserve"> </w:t>
      </w:r>
      <w:r>
        <w:rPr>
          <w:rFonts w:ascii="CenturyStd-Light" w:hAnsi="CenturyStd-Light" w:cs="CenturyStd-Light"/>
          <w:color w:val="000000"/>
          <w:sz w:val="18"/>
          <w:szCs w:val="18"/>
        </w:rPr>
        <w:t>démantèlement) ; et au contraire</w:t>
      </w:r>
      <w:r w:rsidR="00F42609">
        <w:rPr>
          <w:rFonts w:ascii="CenturyStd-Light" w:hAnsi="CenturyStd-Light" w:cs="CenturyStd-Light"/>
          <w:color w:val="000000"/>
          <w:sz w:val="18"/>
          <w:szCs w:val="18"/>
        </w:rPr>
        <w:t xml:space="preserve"> </w:t>
      </w:r>
      <w:r>
        <w:rPr>
          <w:rFonts w:ascii="CenturyStd-Light" w:hAnsi="CenturyStd-Light" w:cs="CenturyStd-Light"/>
          <w:color w:val="000000"/>
          <w:sz w:val="18"/>
          <w:szCs w:val="18"/>
        </w:rPr>
        <w:t>de façon parfaitement secrète en</w:t>
      </w:r>
      <w:r w:rsidR="00F42609">
        <w:rPr>
          <w:rFonts w:ascii="CenturyStd-Light" w:hAnsi="CenturyStd-Light" w:cs="CenturyStd-Light"/>
          <w:color w:val="000000"/>
          <w:sz w:val="18"/>
          <w:szCs w:val="18"/>
        </w:rPr>
        <w:t xml:space="preserve"> </w:t>
      </w:r>
      <w:r>
        <w:rPr>
          <w:rFonts w:ascii="CenturyStd-Light" w:hAnsi="CenturyStd-Light" w:cs="CenturyStd-Light"/>
          <w:color w:val="000000"/>
          <w:sz w:val="18"/>
          <w:szCs w:val="18"/>
        </w:rPr>
        <w:t>Sibérie (la publication de Myers,</w:t>
      </w:r>
      <w:r w:rsidR="00C10EB2">
        <w:rPr>
          <w:rFonts w:ascii="CenturyStd-Light" w:hAnsi="CenturyStd-Light" w:cs="CenturyStd-Light"/>
          <w:color w:val="000000"/>
          <w:sz w:val="18"/>
          <w:szCs w:val="18"/>
        </w:rPr>
        <w:t xml:space="preserve"> </w:t>
      </w:r>
      <w:r>
        <w:rPr>
          <w:rFonts w:ascii="CenturyStd-Light" w:hAnsi="CenturyStd-Light" w:cs="CenturyStd-Light"/>
          <w:color w:val="000000"/>
          <w:sz w:val="18"/>
          <w:szCs w:val="18"/>
        </w:rPr>
        <w:t>Elkins, 2004, reproduit des images</w:t>
      </w:r>
      <w:r w:rsidR="00F42609">
        <w:rPr>
          <w:rFonts w:ascii="CenturyStd-Light" w:hAnsi="CenturyStd-Light" w:cs="CenturyStd-Light"/>
          <w:color w:val="000000"/>
          <w:sz w:val="18"/>
          <w:szCs w:val="18"/>
        </w:rPr>
        <w:t xml:space="preserve"> </w:t>
      </w:r>
      <w:r>
        <w:rPr>
          <w:rFonts w:ascii="CenturyStd-Light" w:hAnsi="CenturyStd-Light" w:cs="CenturyStd-Light"/>
          <w:color w:val="000000"/>
          <w:sz w:val="18"/>
          <w:szCs w:val="18"/>
        </w:rPr>
        <w:t>issues d’une brochure locale),</w:t>
      </w:r>
      <w:r w:rsidR="00F42609">
        <w:rPr>
          <w:rFonts w:ascii="CenturyStd-Light" w:hAnsi="CenturyStd-Light" w:cs="CenturyStd-Light"/>
          <w:color w:val="000000"/>
          <w:sz w:val="18"/>
          <w:szCs w:val="18"/>
        </w:rPr>
        <w:t xml:space="preserve"> </w:t>
      </w:r>
      <w:r>
        <w:rPr>
          <w:rFonts w:ascii="CenturyStd-Light" w:hAnsi="CenturyStd-Light" w:cs="CenturyStd-Light"/>
          <w:color w:val="000000"/>
          <w:sz w:val="18"/>
          <w:szCs w:val="18"/>
        </w:rPr>
        <w:t>alors qu’il s’agissait de puissances</w:t>
      </w:r>
      <w:r w:rsidR="00F42609">
        <w:rPr>
          <w:rFonts w:ascii="CenturyStd-Light" w:hAnsi="CenturyStd-Light" w:cs="CenturyStd-Light"/>
          <w:color w:val="000000"/>
          <w:sz w:val="18"/>
          <w:szCs w:val="18"/>
        </w:rPr>
        <w:t xml:space="preserve"> </w:t>
      </w:r>
      <w:r>
        <w:rPr>
          <w:rFonts w:ascii="CenturyStd-Light" w:hAnsi="CenturyStd-Light" w:cs="CenturyStd-Light"/>
          <w:color w:val="000000"/>
          <w:sz w:val="18"/>
          <w:szCs w:val="18"/>
        </w:rPr>
        <w:t>beaucoup plus importantes pour</w:t>
      </w:r>
      <w:r w:rsidR="00F42609">
        <w:rPr>
          <w:rFonts w:ascii="CenturyStd-Light" w:hAnsi="CenturyStd-Light" w:cs="CenturyStd-Light"/>
          <w:color w:val="000000"/>
          <w:sz w:val="18"/>
          <w:szCs w:val="18"/>
        </w:rPr>
        <w:t xml:space="preserve"> </w:t>
      </w:r>
      <w:r>
        <w:rPr>
          <w:rFonts w:ascii="CenturyStd-Light" w:hAnsi="CenturyStd-Light" w:cs="CenturyStd-Light"/>
          <w:color w:val="000000"/>
          <w:sz w:val="18"/>
          <w:szCs w:val="18"/>
        </w:rPr>
        <w:t xml:space="preserve">alimenter un complexe </w:t>
      </w:r>
      <w:proofErr w:type="spellStart"/>
      <w:r>
        <w:rPr>
          <w:rFonts w:ascii="CenturyStd-Light" w:hAnsi="CenturyStd-Light" w:cs="CenturyStd-Light"/>
          <w:color w:val="000000"/>
          <w:sz w:val="18"/>
          <w:szCs w:val="18"/>
        </w:rPr>
        <w:t>militaroindustriel</w:t>
      </w:r>
      <w:proofErr w:type="spellEnd"/>
      <w:r w:rsidR="00F42609">
        <w:rPr>
          <w:rFonts w:ascii="CenturyStd-Light" w:hAnsi="CenturyStd-Light" w:cs="CenturyStd-Light"/>
          <w:color w:val="000000"/>
          <w:sz w:val="18"/>
          <w:szCs w:val="18"/>
        </w:rPr>
        <w:t xml:space="preserve"> </w:t>
      </w:r>
      <w:r>
        <w:rPr>
          <w:rFonts w:ascii="CenturyStd-Light" w:hAnsi="CenturyStd-Light" w:cs="CenturyStd-Light"/>
          <w:color w:val="000000"/>
          <w:sz w:val="18"/>
          <w:szCs w:val="18"/>
        </w:rPr>
        <w:t>et la ville nouvelle</w:t>
      </w:r>
      <w:r w:rsidR="00F42609">
        <w:rPr>
          <w:rFonts w:ascii="CenturyStd-Light" w:hAnsi="CenturyStd-Light" w:cs="CenturyStd-Light"/>
          <w:color w:val="000000"/>
          <w:sz w:val="18"/>
          <w:szCs w:val="18"/>
        </w:rPr>
        <w:t xml:space="preserve"> </w:t>
      </w:r>
      <w:r>
        <w:rPr>
          <w:rFonts w:ascii="CenturyStd-Light" w:hAnsi="CenturyStd-Light" w:cs="CenturyStd-Light"/>
          <w:color w:val="000000"/>
          <w:sz w:val="18"/>
          <w:szCs w:val="18"/>
        </w:rPr>
        <w:t>Jeleznogorsk où logeaient les</w:t>
      </w:r>
      <w:r w:rsidR="00F42609">
        <w:rPr>
          <w:rFonts w:ascii="CenturyStd-Light" w:hAnsi="CenturyStd-Light" w:cs="CenturyStd-Light"/>
          <w:color w:val="000000"/>
          <w:sz w:val="18"/>
          <w:szCs w:val="18"/>
        </w:rPr>
        <w:t xml:space="preserve"> </w:t>
      </w:r>
      <w:r>
        <w:rPr>
          <w:rFonts w:ascii="CenturyStd-Light" w:hAnsi="CenturyStd-Light" w:cs="CenturyStd-Light"/>
          <w:color w:val="000000"/>
          <w:sz w:val="18"/>
          <w:szCs w:val="18"/>
        </w:rPr>
        <w:t>personnels (elle-même secrète,</w:t>
      </w:r>
      <w:r w:rsidR="00F42609">
        <w:rPr>
          <w:rFonts w:ascii="CenturyStd-Light" w:hAnsi="CenturyStd-Light" w:cs="CenturyStd-Light"/>
          <w:color w:val="000000"/>
          <w:sz w:val="18"/>
          <w:szCs w:val="18"/>
        </w:rPr>
        <w:t xml:space="preserve"> </w:t>
      </w:r>
      <w:r>
        <w:rPr>
          <w:rFonts w:ascii="CenturyStd-Light" w:hAnsi="CenturyStd-Light" w:cs="CenturyStd-Light"/>
          <w:color w:val="000000"/>
          <w:sz w:val="18"/>
          <w:szCs w:val="18"/>
        </w:rPr>
        <w:t xml:space="preserve">sous le code </w:t>
      </w:r>
      <w:proofErr w:type="spellStart"/>
      <w:r>
        <w:rPr>
          <w:rFonts w:ascii="CenturyStd-Light" w:hAnsi="CenturyStd-Light" w:cs="CenturyStd-Light"/>
          <w:color w:val="000000"/>
          <w:sz w:val="18"/>
          <w:szCs w:val="18"/>
        </w:rPr>
        <w:t>Krasnoyarsk</w:t>
      </w:r>
      <w:proofErr w:type="spellEnd"/>
      <w:r>
        <w:rPr>
          <w:rFonts w:ascii="CenturyStd-Light" w:hAnsi="CenturyStd-Light" w:cs="CenturyStd-Light"/>
          <w:color w:val="000000"/>
          <w:sz w:val="18"/>
          <w:szCs w:val="18"/>
        </w:rPr>
        <w:t xml:space="preserve"> 26) ;</w:t>
      </w:r>
      <w:r w:rsidR="00F42609">
        <w:rPr>
          <w:rFonts w:ascii="CenturyStd-Light" w:hAnsi="CenturyStd-Light" w:cs="CenturyStd-Light"/>
          <w:color w:val="000000"/>
          <w:sz w:val="18"/>
          <w:szCs w:val="18"/>
        </w:rPr>
        <w:t xml:space="preserve"> </w:t>
      </w:r>
      <w:r>
        <w:rPr>
          <w:rFonts w:ascii="CenturyStd-Light" w:hAnsi="CenturyStd-Light" w:cs="CenturyStd-Light"/>
          <w:color w:val="000000"/>
          <w:sz w:val="18"/>
          <w:szCs w:val="18"/>
        </w:rPr>
        <w:t>ces centrales, dont on sait peu de</w:t>
      </w:r>
      <w:r w:rsidR="00F42609">
        <w:rPr>
          <w:rFonts w:ascii="CenturyStd-Light" w:hAnsi="CenturyStd-Light" w:cs="CenturyStd-Light"/>
          <w:color w:val="000000"/>
          <w:sz w:val="18"/>
          <w:szCs w:val="18"/>
        </w:rPr>
        <w:t xml:space="preserve"> </w:t>
      </w:r>
      <w:r>
        <w:rPr>
          <w:rFonts w:ascii="CenturyStd-Light" w:hAnsi="CenturyStd-Light" w:cs="CenturyStd-Light"/>
          <w:color w:val="000000"/>
          <w:sz w:val="18"/>
          <w:szCs w:val="18"/>
        </w:rPr>
        <w:t>choses</w:t>
      </w:r>
      <w:r>
        <w:rPr>
          <w:rFonts w:ascii="OpenSans-Extrabold" w:hAnsi="OpenSans-Extrabold" w:cs="OpenSans-Extrabold"/>
          <w:color w:val="000000"/>
          <w:sz w:val="14"/>
          <w:szCs w:val="14"/>
        </w:rPr>
        <w:t>1</w:t>
      </w:r>
      <w:r>
        <w:rPr>
          <w:rFonts w:ascii="CenturyStd-Light" w:hAnsi="CenturyStd-Light" w:cs="CenturyStd-Light"/>
          <w:color w:val="000000"/>
          <w:sz w:val="18"/>
          <w:szCs w:val="18"/>
        </w:rPr>
        <w:t>, seront fermées à la fin du</w:t>
      </w:r>
      <w:r w:rsidR="00F42609">
        <w:rPr>
          <w:rFonts w:ascii="CenturyStd-Light" w:hAnsi="CenturyStd-Light" w:cs="CenturyStd-Light"/>
          <w:color w:val="000000"/>
          <w:sz w:val="18"/>
          <w:szCs w:val="18"/>
        </w:rPr>
        <w:t xml:space="preserve"> </w:t>
      </w:r>
      <w:r>
        <w:rPr>
          <w:rFonts w:ascii="CenturyStd-Light" w:hAnsi="CenturyStd-Light" w:cs="CenturyStd-Light"/>
          <w:color w:val="000000"/>
          <w:sz w:val="18"/>
          <w:szCs w:val="18"/>
        </w:rPr>
        <w:t>siècle à la suite d’un accord avec</w:t>
      </w:r>
      <w:r w:rsidR="00F42609">
        <w:rPr>
          <w:rFonts w:ascii="CenturyStd-Light" w:hAnsi="CenturyStd-Light" w:cs="CenturyStd-Light"/>
          <w:color w:val="000000"/>
          <w:sz w:val="18"/>
          <w:szCs w:val="18"/>
        </w:rPr>
        <w:t xml:space="preserve"> </w:t>
      </w:r>
      <w:r>
        <w:rPr>
          <w:rFonts w:ascii="CenturyStd-Light" w:hAnsi="CenturyStd-Light" w:cs="CenturyStd-Light"/>
          <w:color w:val="000000"/>
          <w:sz w:val="18"/>
          <w:szCs w:val="18"/>
        </w:rPr>
        <w:t>les États-Unis sur l’interdiction de</w:t>
      </w:r>
      <w:r w:rsidR="00F42609">
        <w:rPr>
          <w:rFonts w:ascii="CenturyStd-Light" w:hAnsi="CenturyStd-Light" w:cs="CenturyStd-Light"/>
          <w:color w:val="000000"/>
          <w:sz w:val="18"/>
          <w:szCs w:val="18"/>
        </w:rPr>
        <w:t xml:space="preserve"> </w:t>
      </w:r>
      <w:r>
        <w:rPr>
          <w:rFonts w:ascii="CenturyStd-Light" w:hAnsi="CenturyStd-Light" w:cs="CenturyStd-Light"/>
          <w:color w:val="000000"/>
          <w:sz w:val="18"/>
          <w:szCs w:val="18"/>
        </w:rPr>
        <w:t>fabriquer du plutonium.</w:t>
      </w:r>
    </w:p>
    <w:p w14:paraId="3A1EE227" w14:textId="77777777" w:rsidR="00230458" w:rsidRDefault="00230458" w:rsidP="006B39E5">
      <w:pPr>
        <w:autoSpaceDE w:val="0"/>
        <w:autoSpaceDN w:val="0"/>
        <w:adjustRightInd w:val="0"/>
        <w:spacing w:after="0" w:line="240" w:lineRule="auto"/>
        <w:rPr>
          <w:rFonts w:ascii="CenturyStd-Light" w:hAnsi="CenturyStd-Light" w:cs="CenturyStd-Light"/>
          <w:color w:val="000000"/>
          <w:sz w:val="18"/>
          <w:szCs w:val="18"/>
        </w:rPr>
      </w:pPr>
    </w:p>
    <w:p w14:paraId="4DD6BD9F" w14:textId="77777777" w:rsidR="00230458" w:rsidRDefault="00230458" w:rsidP="00230458">
      <w:pPr>
        <w:autoSpaceDE w:val="0"/>
        <w:autoSpaceDN w:val="0"/>
        <w:adjustRightInd w:val="0"/>
        <w:spacing w:after="0" w:line="240" w:lineRule="auto"/>
        <w:jc w:val="center"/>
        <w:rPr>
          <w:rFonts w:ascii="CenturyStd-Light" w:hAnsi="CenturyStd-Light" w:cs="CenturyStd-Light"/>
          <w:color w:val="000000"/>
          <w:sz w:val="18"/>
          <w:szCs w:val="18"/>
        </w:rPr>
      </w:pPr>
      <w:r>
        <w:rPr>
          <w:rFonts w:ascii="CenturyStd-Light" w:hAnsi="CenturyStd-Light" w:cs="CenturyStd-Light"/>
          <w:noProof/>
          <w:color w:val="000000"/>
          <w:sz w:val="18"/>
          <w:szCs w:val="18"/>
          <w:lang w:eastAsia="fr-FR"/>
        </w:rPr>
        <w:drawing>
          <wp:inline distT="0" distB="0" distL="0" distR="0" wp14:anchorId="225C48DA" wp14:editId="49638625">
            <wp:extent cx="3782673" cy="2507471"/>
            <wp:effectExtent l="19050" t="0" r="8277"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srcRect/>
                    <a:stretch>
                      <a:fillRect/>
                    </a:stretch>
                  </pic:blipFill>
                  <pic:spPr bwMode="auto">
                    <a:xfrm>
                      <a:off x="0" y="0"/>
                      <a:ext cx="3786497" cy="2510006"/>
                    </a:xfrm>
                    <a:prstGeom prst="rect">
                      <a:avLst/>
                    </a:prstGeom>
                    <a:noFill/>
                    <a:ln w="9525">
                      <a:noFill/>
                      <a:miter lim="800000"/>
                      <a:headEnd/>
                      <a:tailEnd/>
                    </a:ln>
                  </pic:spPr>
                </pic:pic>
              </a:graphicData>
            </a:graphic>
          </wp:inline>
        </w:drawing>
      </w:r>
    </w:p>
    <w:p w14:paraId="4235533B" w14:textId="77777777" w:rsidR="00230458" w:rsidRDefault="00230458" w:rsidP="00230458">
      <w:pPr>
        <w:autoSpaceDE w:val="0"/>
        <w:autoSpaceDN w:val="0"/>
        <w:adjustRightInd w:val="0"/>
        <w:spacing w:after="0" w:line="240" w:lineRule="auto"/>
        <w:jc w:val="center"/>
        <w:rPr>
          <w:rFonts w:ascii="CenturyStd-Light" w:hAnsi="CenturyStd-Light" w:cs="CenturyStd-Light"/>
          <w:color w:val="000000"/>
          <w:sz w:val="18"/>
          <w:szCs w:val="18"/>
        </w:rPr>
      </w:pPr>
      <w:r>
        <w:rPr>
          <w:rFonts w:ascii="CenturyStd-Light" w:hAnsi="CenturyStd-Light" w:cs="CenturyStd-Light"/>
          <w:sz w:val="14"/>
          <w:szCs w:val="14"/>
        </w:rPr>
        <w:t xml:space="preserve">Figure 1 : coupe schématique de la centrale expérimentale de </w:t>
      </w:r>
      <w:proofErr w:type="spellStart"/>
      <w:r>
        <w:rPr>
          <w:rFonts w:ascii="CenturyStd-Light" w:hAnsi="CenturyStd-Light" w:cs="CenturyStd-Light"/>
          <w:sz w:val="14"/>
          <w:szCs w:val="14"/>
        </w:rPr>
        <w:t>Lucens</w:t>
      </w:r>
      <w:proofErr w:type="spellEnd"/>
      <w:r>
        <w:rPr>
          <w:rFonts w:ascii="CenturyStd-Light" w:hAnsi="CenturyStd-Light" w:cs="CenturyStd-Light"/>
          <w:sz w:val="14"/>
          <w:szCs w:val="14"/>
        </w:rPr>
        <w:t>.</w:t>
      </w:r>
    </w:p>
    <w:p w14:paraId="12C6C971" w14:textId="77777777" w:rsidR="00230458" w:rsidRDefault="00230458" w:rsidP="00230458">
      <w:pPr>
        <w:autoSpaceDE w:val="0"/>
        <w:autoSpaceDN w:val="0"/>
        <w:adjustRightInd w:val="0"/>
        <w:spacing w:after="0" w:line="240" w:lineRule="auto"/>
        <w:jc w:val="center"/>
        <w:rPr>
          <w:rFonts w:ascii="CenturyStd-Light" w:hAnsi="CenturyStd-Light" w:cs="CenturyStd-Light"/>
          <w:color w:val="000000"/>
          <w:sz w:val="18"/>
          <w:szCs w:val="18"/>
        </w:rPr>
      </w:pPr>
    </w:p>
    <w:p w14:paraId="6F2AA0B5" w14:textId="77777777" w:rsidR="006B39E5" w:rsidRDefault="00F42609" w:rsidP="006B39E5">
      <w:pPr>
        <w:autoSpaceDE w:val="0"/>
        <w:autoSpaceDN w:val="0"/>
        <w:adjustRightInd w:val="0"/>
        <w:spacing w:after="0" w:line="240" w:lineRule="auto"/>
        <w:rPr>
          <w:rFonts w:ascii="CenturyStd-Light" w:hAnsi="CenturyStd-Light" w:cs="CenturyStd-Light"/>
          <w:color w:val="000000"/>
          <w:sz w:val="18"/>
          <w:szCs w:val="18"/>
        </w:rPr>
      </w:pPr>
      <w:r>
        <w:rPr>
          <w:rFonts w:ascii="CenturyStd-Light" w:hAnsi="CenturyStd-Light" w:cs="CenturyStd-Light"/>
          <w:color w:val="000000"/>
          <w:sz w:val="18"/>
          <w:szCs w:val="18"/>
        </w:rPr>
        <w:tab/>
      </w:r>
      <w:r w:rsidR="006B39E5">
        <w:rPr>
          <w:rFonts w:ascii="CenturyStd-Light" w:hAnsi="CenturyStd-Light" w:cs="CenturyStd-Light"/>
          <w:color w:val="000000"/>
          <w:sz w:val="18"/>
          <w:szCs w:val="18"/>
        </w:rPr>
        <w:t>L’accident de la centrale américaine</w:t>
      </w:r>
      <w:r>
        <w:rPr>
          <w:rFonts w:ascii="CenturyStd-Light" w:hAnsi="CenturyStd-Light" w:cs="CenturyStd-Light"/>
          <w:color w:val="000000"/>
          <w:sz w:val="18"/>
          <w:szCs w:val="18"/>
        </w:rPr>
        <w:t xml:space="preserve"> </w:t>
      </w:r>
      <w:r w:rsidR="006B39E5">
        <w:rPr>
          <w:rFonts w:ascii="CenturyStd-Light" w:hAnsi="CenturyStd-Light" w:cs="CenturyStd-Light"/>
          <w:color w:val="000000"/>
          <w:sz w:val="18"/>
          <w:szCs w:val="18"/>
        </w:rPr>
        <w:t xml:space="preserve">de </w:t>
      </w:r>
      <w:proofErr w:type="spellStart"/>
      <w:r w:rsidR="006B39E5">
        <w:rPr>
          <w:rFonts w:ascii="CenturyStd-Light" w:hAnsi="CenturyStd-Light" w:cs="CenturyStd-Light"/>
          <w:color w:val="000000"/>
          <w:sz w:val="18"/>
          <w:szCs w:val="18"/>
        </w:rPr>
        <w:t>Three</w:t>
      </w:r>
      <w:proofErr w:type="spellEnd"/>
      <w:r w:rsidR="006B39E5">
        <w:rPr>
          <w:rFonts w:ascii="CenturyStd-Light" w:hAnsi="CenturyStd-Light" w:cs="CenturyStd-Light"/>
          <w:color w:val="000000"/>
          <w:sz w:val="18"/>
          <w:szCs w:val="18"/>
        </w:rPr>
        <w:t xml:space="preserve"> Mile Island, près de</w:t>
      </w:r>
      <w:r>
        <w:rPr>
          <w:rFonts w:ascii="CenturyStd-Light" w:hAnsi="CenturyStd-Light" w:cs="CenturyStd-Light"/>
          <w:color w:val="000000"/>
          <w:sz w:val="18"/>
          <w:szCs w:val="18"/>
        </w:rPr>
        <w:t xml:space="preserve"> </w:t>
      </w:r>
      <w:r w:rsidR="006B39E5">
        <w:rPr>
          <w:rFonts w:ascii="CenturyStd-Light" w:hAnsi="CenturyStd-Light" w:cs="CenturyStd-Light"/>
          <w:color w:val="000000"/>
          <w:sz w:val="18"/>
          <w:szCs w:val="18"/>
        </w:rPr>
        <w:t>Harrisburg, Pennsylvanie, est</w:t>
      </w:r>
      <w:r>
        <w:rPr>
          <w:rFonts w:ascii="CenturyStd-Light" w:hAnsi="CenturyStd-Light" w:cs="CenturyStd-Light"/>
          <w:color w:val="000000"/>
          <w:sz w:val="18"/>
          <w:szCs w:val="18"/>
        </w:rPr>
        <w:t xml:space="preserve"> </w:t>
      </w:r>
      <w:r w:rsidR="006B39E5">
        <w:rPr>
          <w:rFonts w:ascii="CenturyStd-Light" w:hAnsi="CenturyStd-Light" w:cs="CenturyStd-Light"/>
          <w:color w:val="000000"/>
          <w:sz w:val="18"/>
          <w:szCs w:val="18"/>
        </w:rPr>
        <w:t>resté lui aussi sans conséquences</w:t>
      </w:r>
      <w:r>
        <w:rPr>
          <w:rFonts w:ascii="CenturyStd-Light" w:hAnsi="CenturyStd-Light" w:cs="CenturyStd-Light"/>
          <w:color w:val="000000"/>
          <w:sz w:val="18"/>
          <w:szCs w:val="18"/>
        </w:rPr>
        <w:t xml:space="preserve"> </w:t>
      </w:r>
      <w:r w:rsidR="006B39E5">
        <w:rPr>
          <w:rFonts w:ascii="CenturyStd-Light" w:hAnsi="CenturyStd-Light" w:cs="CenturyStd-Light"/>
          <w:color w:val="000000"/>
          <w:sz w:val="18"/>
          <w:szCs w:val="18"/>
        </w:rPr>
        <w:t>sanitaires, l’enceinte en béton</w:t>
      </w:r>
      <w:r>
        <w:rPr>
          <w:rFonts w:ascii="CenturyStd-Light" w:hAnsi="CenturyStd-Light" w:cs="CenturyStd-Light"/>
          <w:color w:val="000000"/>
          <w:sz w:val="18"/>
          <w:szCs w:val="18"/>
        </w:rPr>
        <w:t xml:space="preserve"> </w:t>
      </w:r>
      <w:r w:rsidR="006B39E5">
        <w:rPr>
          <w:rFonts w:ascii="CenturyStd-Light" w:hAnsi="CenturyStd-Light" w:cs="CenturyStd-Light"/>
          <w:color w:val="000000"/>
          <w:sz w:val="18"/>
          <w:szCs w:val="18"/>
        </w:rPr>
        <w:t>précontraint ayant joué son rôle,</w:t>
      </w:r>
      <w:r>
        <w:rPr>
          <w:rFonts w:ascii="CenturyStd-Light" w:hAnsi="CenturyStd-Light" w:cs="CenturyStd-Light"/>
          <w:color w:val="000000"/>
          <w:sz w:val="18"/>
          <w:szCs w:val="18"/>
        </w:rPr>
        <w:t xml:space="preserve"> </w:t>
      </w:r>
      <w:r w:rsidR="006B39E5">
        <w:rPr>
          <w:rFonts w:ascii="CenturyStd-Light" w:hAnsi="CenturyStd-Light" w:cs="CenturyStd-Light"/>
          <w:color w:val="000000"/>
          <w:sz w:val="18"/>
          <w:szCs w:val="18"/>
        </w:rPr>
        <w:t>mais il a nettement ralenti les mises</w:t>
      </w:r>
      <w:r>
        <w:rPr>
          <w:rFonts w:ascii="CenturyStd-Light" w:hAnsi="CenturyStd-Light" w:cs="CenturyStd-Light"/>
          <w:color w:val="000000"/>
          <w:sz w:val="18"/>
          <w:szCs w:val="18"/>
        </w:rPr>
        <w:t xml:space="preserve"> </w:t>
      </w:r>
      <w:r w:rsidR="006B39E5">
        <w:rPr>
          <w:rFonts w:ascii="CenturyStd-Light" w:hAnsi="CenturyStd-Light" w:cs="CenturyStd-Light"/>
          <w:color w:val="000000"/>
          <w:sz w:val="18"/>
          <w:szCs w:val="18"/>
        </w:rPr>
        <w:t>en chantier de centrales nucléaires</w:t>
      </w:r>
      <w:r>
        <w:rPr>
          <w:rFonts w:ascii="CenturyStd-Light" w:hAnsi="CenturyStd-Light" w:cs="CenturyStd-Light"/>
          <w:color w:val="000000"/>
          <w:sz w:val="18"/>
          <w:szCs w:val="18"/>
        </w:rPr>
        <w:t xml:space="preserve"> </w:t>
      </w:r>
      <w:r w:rsidR="006B39E5">
        <w:rPr>
          <w:rFonts w:ascii="CenturyStd-Light" w:hAnsi="CenturyStd-Light" w:cs="CenturyStd-Light"/>
          <w:color w:val="000000"/>
          <w:sz w:val="18"/>
          <w:szCs w:val="18"/>
        </w:rPr>
        <w:t>dans le monde. En outre, il a</w:t>
      </w:r>
      <w:r>
        <w:rPr>
          <w:rFonts w:ascii="CenturyStd-Light" w:hAnsi="CenturyStd-Light" w:cs="CenturyStd-Light"/>
          <w:color w:val="000000"/>
          <w:sz w:val="18"/>
          <w:szCs w:val="18"/>
        </w:rPr>
        <w:t xml:space="preserve"> </w:t>
      </w:r>
      <w:r w:rsidR="006B39E5">
        <w:rPr>
          <w:rFonts w:ascii="CenturyStd-Light" w:hAnsi="CenturyStd-Light" w:cs="CenturyStd-Light"/>
          <w:color w:val="000000"/>
          <w:sz w:val="18"/>
          <w:szCs w:val="18"/>
        </w:rPr>
        <w:t>introduit le doute en Allemagne où</w:t>
      </w:r>
      <w:r>
        <w:rPr>
          <w:rFonts w:ascii="CenturyStd-Light" w:hAnsi="CenturyStd-Light" w:cs="CenturyStd-Light"/>
          <w:color w:val="000000"/>
          <w:sz w:val="18"/>
          <w:szCs w:val="18"/>
        </w:rPr>
        <w:t xml:space="preserve"> </w:t>
      </w:r>
      <w:r w:rsidR="006B39E5">
        <w:rPr>
          <w:rFonts w:ascii="CenturyStd-Light" w:hAnsi="CenturyStd-Light" w:cs="CenturyStd-Light"/>
          <w:color w:val="000000"/>
          <w:sz w:val="18"/>
          <w:szCs w:val="18"/>
        </w:rPr>
        <w:t>l’on craignait des bombardements</w:t>
      </w:r>
      <w:r w:rsidR="00C10EB2">
        <w:rPr>
          <w:rFonts w:ascii="CenturyStd-Light" w:hAnsi="CenturyStd-Light" w:cs="CenturyStd-Light"/>
          <w:color w:val="000000"/>
          <w:sz w:val="18"/>
          <w:szCs w:val="18"/>
        </w:rPr>
        <w:t xml:space="preserve"> </w:t>
      </w:r>
      <w:r w:rsidR="006B39E5">
        <w:rPr>
          <w:rFonts w:ascii="CenturyStd-Light" w:hAnsi="CenturyStd-Light" w:cs="CenturyStd-Light"/>
          <w:color w:val="000000"/>
          <w:sz w:val="18"/>
          <w:szCs w:val="18"/>
        </w:rPr>
        <w:t>en cette période de guerre froide :</w:t>
      </w:r>
      <w:r w:rsidR="002710CC">
        <w:rPr>
          <w:rFonts w:ascii="CenturyStd-Light" w:hAnsi="CenturyStd-Light" w:cs="CenturyStd-Light"/>
          <w:color w:val="000000"/>
          <w:sz w:val="18"/>
          <w:szCs w:val="18"/>
        </w:rPr>
        <w:t xml:space="preserve"> </w:t>
      </w:r>
      <w:r w:rsidR="006B39E5">
        <w:rPr>
          <w:rFonts w:ascii="CenturyStd-Light" w:hAnsi="CenturyStd-Light" w:cs="CenturyStd-Light"/>
          <w:color w:val="000000"/>
          <w:sz w:val="18"/>
          <w:szCs w:val="18"/>
        </w:rPr>
        <w:t>le gouvernement a convoqué un</w:t>
      </w:r>
      <w:r w:rsidR="002710CC">
        <w:rPr>
          <w:rFonts w:ascii="CenturyStd-Light" w:hAnsi="CenturyStd-Light" w:cs="CenturyStd-Light"/>
          <w:color w:val="000000"/>
          <w:sz w:val="18"/>
          <w:szCs w:val="18"/>
        </w:rPr>
        <w:t xml:space="preserve"> </w:t>
      </w:r>
      <w:r w:rsidR="006B39E5">
        <w:rPr>
          <w:rFonts w:ascii="CenturyStd-Light" w:hAnsi="CenturyStd-Light" w:cs="CenturyStd-Light"/>
          <w:color w:val="000000"/>
          <w:sz w:val="18"/>
          <w:szCs w:val="18"/>
        </w:rPr>
        <w:t>symposium international en 1981</w:t>
      </w:r>
      <w:r w:rsidR="002710CC">
        <w:rPr>
          <w:rFonts w:ascii="CenturyStd-Light" w:hAnsi="CenturyStd-Light" w:cs="CenturyStd-Light"/>
          <w:color w:val="000000"/>
          <w:sz w:val="18"/>
          <w:szCs w:val="18"/>
        </w:rPr>
        <w:t xml:space="preserve"> </w:t>
      </w:r>
      <w:r w:rsidR="006B39E5">
        <w:rPr>
          <w:rFonts w:ascii="CenturyStd-Light" w:hAnsi="CenturyStd-Light" w:cs="CenturyStd-Light"/>
          <w:color w:val="000000"/>
          <w:sz w:val="18"/>
          <w:szCs w:val="18"/>
        </w:rPr>
        <w:t>au nucléaire souterrain (Bender,</w:t>
      </w:r>
      <w:r w:rsidR="002710CC">
        <w:rPr>
          <w:rFonts w:ascii="CenturyStd-Light" w:hAnsi="CenturyStd-Light" w:cs="CenturyStd-Light"/>
          <w:color w:val="000000"/>
          <w:sz w:val="18"/>
          <w:szCs w:val="18"/>
        </w:rPr>
        <w:t xml:space="preserve"> </w:t>
      </w:r>
      <w:r w:rsidR="006B39E5">
        <w:rPr>
          <w:rFonts w:ascii="CenturyStd-Light" w:hAnsi="CenturyStd-Light" w:cs="CenturyStd-Light"/>
          <w:color w:val="000000"/>
          <w:sz w:val="18"/>
          <w:szCs w:val="18"/>
        </w:rPr>
        <w:t>1981, Duffaut, 1981) ; un rappor</w:t>
      </w:r>
      <w:r w:rsidR="002710CC">
        <w:rPr>
          <w:rFonts w:ascii="CenturyStd-Light" w:hAnsi="CenturyStd-Light" w:cs="CenturyStd-Light"/>
          <w:color w:val="000000"/>
          <w:sz w:val="18"/>
          <w:szCs w:val="18"/>
        </w:rPr>
        <w:t xml:space="preserve">t </w:t>
      </w:r>
      <w:r w:rsidR="006B39E5">
        <w:rPr>
          <w:rFonts w:ascii="CenturyStd-Light" w:hAnsi="CenturyStd-Light" w:cs="CenturyStd-Light"/>
          <w:color w:val="000000"/>
          <w:sz w:val="18"/>
          <w:szCs w:val="18"/>
        </w:rPr>
        <w:t>de l’Institut national suisse d’études</w:t>
      </w:r>
      <w:r w:rsidR="002710CC">
        <w:rPr>
          <w:rFonts w:ascii="CenturyStd-Light" w:hAnsi="CenturyStd-Light" w:cs="CenturyStd-Light"/>
          <w:color w:val="000000"/>
          <w:sz w:val="18"/>
          <w:szCs w:val="18"/>
        </w:rPr>
        <w:t xml:space="preserve"> </w:t>
      </w:r>
      <w:r w:rsidR="006B39E5">
        <w:rPr>
          <w:rFonts w:ascii="CenturyStd-Light" w:hAnsi="CenturyStd-Light" w:cs="CenturyStd-Light"/>
          <w:color w:val="000000"/>
          <w:sz w:val="18"/>
          <w:szCs w:val="18"/>
        </w:rPr>
        <w:t>nucléaires recense en détail les</w:t>
      </w:r>
      <w:r w:rsidR="002710CC">
        <w:rPr>
          <w:rFonts w:ascii="CenturyStd-Light" w:hAnsi="CenturyStd-Light" w:cs="CenturyStd-Light"/>
          <w:color w:val="000000"/>
          <w:sz w:val="18"/>
          <w:szCs w:val="18"/>
        </w:rPr>
        <w:t xml:space="preserve"> </w:t>
      </w:r>
      <w:r w:rsidR="006B39E5">
        <w:rPr>
          <w:rFonts w:ascii="CenturyStd-Light" w:hAnsi="CenturyStd-Light" w:cs="CenturyStd-Light"/>
          <w:color w:val="000000"/>
          <w:sz w:val="18"/>
          <w:szCs w:val="18"/>
        </w:rPr>
        <w:t>cinq réalisations connues et les</w:t>
      </w:r>
      <w:r w:rsidR="002710CC">
        <w:rPr>
          <w:rFonts w:ascii="CenturyStd-Light" w:hAnsi="CenturyStd-Light" w:cs="CenturyStd-Light"/>
          <w:color w:val="000000"/>
          <w:sz w:val="18"/>
          <w:szCs w:val="18"/>
        </w:rPr>
        <w:t xml:space="preserve"> </w:t>
      </w:r>
      <w:r w:rsidR="006B39E5">
        <w:rPr>
          <w:rFonts w:ascii="CenturyStd-Light" w:hAnsi="CenturyStd-Light" w:cs="CenturyStd-Light"/>
          <w:color w:val="000000"/>
          <w:sz w:val="18"/>
          <w:szCs w:val="18"/>
        </w:rPr>
        <w:t>nombreux projets mondiaux</w:t>
      </w:r>
      <w:r w:rsidR="002710CC">
        <w:rPr>
          <w:rFonts w:ascii="CenturyStd-Light" w:hAnsi="CenturyStd-Light" w:cs="CenturyStd-Light"/>
          <w:color w:val="000000"/>
          <w:sz w:val="18"/>
          <w:szCs w:val="18"/>
        </w:rPr>
        <w:t xml:space="preserve"> </w:t>
      </w:r>
      <w:r w:rsidR="006B39E5">
        <w:rPr>
          <w:rFonts w:ascii="CenturyStd-Light" w:hAnsi="CenturyStd-Light" w:cs="CenturyStd-Light"/>
          <w:color w:val="000000"/>
          <w:sz w:val="18"/>
          <w:szCs w:val="18"/>
        </w:rPr>
        <w:t>(Pinto, 1979).</w:t>
      </w:r>
      <w:r w:rsidR="002710CC">
        <w:rPr>
          <w:rFonts w:ascii="CenturyStd-Light" w:hAnsi="CenturyStd-Light" w:cs="CenturyStd-Light"/>
          <w:color w:val="000000"/>
          <w:sz w:val="18"/>
          <w:szCs w:val="18"/>
        </w:rPr>
        <w:t xml:space="preserve"> </w:t>
      </w:r>
      <w:r w:rsidR="006B39E5">
        <w:rPr>
          <w:rFonts w:ascii="CenturyStd-Light" w:hAnsi="CenturyStd-Light" w:cs="CenturyStd-Light"/>
          <w:color w:val="000000"/>
          <w:sz w:val="18"/>
          <w:szCs w:val="18"/>
        </w:rPr>
        <w:t>Malheureusement, lors des</w:t>
      </w:r>
      <w:r w:rsidR="002710CC">
        <w:rPr>
          <w:rFonts w:ascii="CenturyStd-Light" w:hAnsi="CenturyStd-Light" w:cs="CenturyStd-Light"/>
          <w:color w:val="000000"/>
          <w:sz w:val="18"/>
          <w:szCs w:val="18"/>
        </w:rPr>
        <w:t xml:space="preserve"> </w:t>
      </w:r>
      <w:r w:rsidR="006B39E5">
        <w:rPr>
          <w:rFonts w:ascii="CenturyStd-Light" w:hAnsi="CenturyStd-Light" w:cs="CenturyStd-Light"/>
          <w:color w:val="000000"/>
          <w:sz w:val="18"/>
          <w:szCs w:val="18"/>
        </w:rPr>
        <w:t>accidents postérieurs, les réacteurs</w:t>
      </w:r>
      <w:r w:rsidR="002710CC">
        <w:rPr>
          <w:rFonts w:ascii="CenturyStd-Light" w:hAnsi="CenturyStd-Light" w:cs="CenturyStd-Light"/>
          <w:color w:val="000000"/>
          <w:sz w:val="18"/>
          <w:szCs w:val="18"/>
        </w:rPr>
        <w:t xml:space="preserve"> </w:t>
      </w:r>
      <w:r w:rsidR="006B39E5">
        <w:rPr>
          <w:rFonts w:ascii="CenturyStd-Light" w:hAnsi="CenturyStd-Light" w:cs="CenturyStd-Light"/>
          <w:color w:val="000000"/>
          <w:sz w:val="18"/>
          <w:szCs w:val="18"/>
        </w:rPr>
        <w:t>RBMK et BWR de Tchernobyl</w:t>
      </w:r>
      <w:r w:rsidR="002710CC">
        <w:rPr>
          <w:rFonts w:ascii="CenturyStd-Light" w:hAnsi="CenturyStd-Light" w:cs="CenturyStd-Light"/>
          <w:color w:val="000000"/>
          <w:sz w:val="18"/>
          <w:szCs w:val="18"/>
        </w:rPr>
        <w:t xml:space="preserve"> </w:t>
      </w:r>
      <w:r w:rsidR="006B39E5">
        <w:rPr>
          <w:rFonts w:ascii="CenturyStd-Light" w:hAnsi="CenturyStd-Light" w:cs="CenturyStd-Light"/>
          <w:color w:val="000000"/>
          <w:sz w:val="18"/>
          <w:szCs w:val="18"/>
        </w:rPr>
        <w:t>et Fukushima étaient dans des</w:t>
      </w:r>
      <w:r w:rsidR="002710CC">
        <w:rPr>
          <w:rFonts w:ascii="CenturyStd-Light" w:hAnsi="CenturyStd-Light" w:cs="CenturyStd-Light"/>
          <w:color w:val="000000"/>
          <w:sz w:val="18"/>
          <w:szCs w:val="18"/>
        </w:rPr>
        <w:t xml:space="preserve"> </w:t>
      </w:r>
      <w:r w:rsidR="006B39E5">
        <w:rPr>
          <w:rFonts w:ascii="CenturyStd-Light" w:hAnsi="CenturyStd-Light" w:cs="CenturyStd-Light"/>
          <w:color w:val="000000"/>
          <w:sz w:val="18"/>
          <w:szCs w:val="18"/>
        </w:rPr>
        <w:t>bâtiments légers, facilement</w:t>
      </w:r>
      <w:r w:rsidR="002710CC">
        <w:rPr>
          <w:rFonts w:ascii="CenturyStd-Light" w:hAnsi="CenturyStd-Light" w:cs="CenturyStd-Light"/>
          <w:color w:val="000000"/>
          <w:sz w:val="18"/>
          <w:szCs w:val="18"/>
        </w:rPr>
        <w:t xml:space="preserve"> </w:t>
      </w:r>
      <w:r w:rsidR="006B39E5">
        <w:rPr>
          <w:rFonts w:ascii="CenturyStd-Light" w:hAnsi="CenturyStd-Light" w:cs="CenturyStd-Light"/>
          <w:color w:val="000000"/>
          <w:sz w:val="18"/>
          <w:szCs w:val="18"/>
        </w:rPr>
        <w:t>détruits par la moindre explosion,</w:t>
      </w:r>
      <w:r w:rsidR="002710CC">
        <w:rPr>
          <w:rFonts w:ascii="CenturyStd-Light" w:hAnsi="CenturyStd-Light" w:cs="CenturyStd-Light"/>
          <w:color w:val="000000"/>
          <w:sz w:val="18"/>
          <w:szCs w:val="18"/>
        </w:rPr>
        <w:t xml:space="preserve"> </w:t>
      </w:r>
      <w:r w:rsidR="006B39E5">
        <w:rPr>
          <w:rFonts w:ascii="CenturyStd-Light" w:hAnsi="CenturyStd-Light" w:cs="CenturyStd-Light"/>
          <w:color w:val="000000"/>
          <w:sz w:val="18"/>
          <w:szCs w:val="18"/>
        </w:rPr>
        <w:t>d’où les conséquences désastreuses.</w:t>
      </w:r>
    </w:p>
    <w:p w14:paraId="5164237C" w14:textId="77777777" w:rsidR="00F42609" w:rsidRDefault="00F42609" w:rsidP="006B39E5">
      <w:pPr>
        <w:autoSpaceDE w:val="0"/>
        <w:autoSpaceDN w:val="0"/>
        <w:adjustRightInd w:val="0"/>
        <w:spacing w:after="0" w:line="240" w:lineRule="auto"/>
        <w:rPr>
          <w:rFonts w:ascii="OpenSans-Extrabold" w:hAnsi="OpenSans-Extrabold" w:cs="OpenSans-Extrabold"/>
          <w:color w:val="FF3B45"/>
          <w:sz w:val="18"/>
          <w:szCs w:val="18"/>
        </w:rPr>
      </w:pPr>
    </w:p>
    <w:p w14:paraId="09B21CE6" w14:textId="77777777" w:rsidR="006B39E5" w:rsidRPr="00F42609" w:rsidRDefault="006B39E5" w:rsidP="006B39E5">
      <w:pPr>
        <w:autoSpaceDE w:val="0"/>
        <w:autoSpaceDN w:val="0"/>
        <w:adjustRightInd w:val="0"/>
        <w:spacing w:after="0" w:line="240" w:lineRule="auto"/>
        <w:rPr>
          <w:rFonts w:ascii="OpenSans-Extrabold" w:hAnsi="OpenSans-Extrabold" w:cs="OpenSans-Extrabold"/>
          <w:b/>
          <w:sz w:val="18"/>
          <w:szCs w:val="18"/>
        </w:rPr>
      </w:pPr>
      <w:r w:rsidRPr="00F42609">
        <w:rPr>
          <w:rFonts w:ascii="OpenSans-Extrabold" w:hAnsi="OpenSans-Extrabold" w:cs="OpenSans-Extrabold"/>
          <w:b/>
          <w:sz w:val="18"/>
          <w:szCs w:val="18"/>
        </w:rPr>
        <w:t>RAPPEL SUR LA CENTRALE</w:t>
      </w:r>
      <w:r w:rsidR="00F42609" w:rsidRPr="00F42609">
        <w:rPr>
          <w:rFonts w:ascii="OpenSans-Extrabold" w:hAnsi="OpenSans-Extrabold" w:cs="OpenSans-Extrabold"/>
          <w:b/>
          <w:sz w:val="18"/>
          <w:szCs w:val="18"/>
        </w:rPr>
        <w:t xml:space="preserve"> </w:t>
      </w:r>
      <w:r w:rsidRPr="00F42609">
        <w:rPr>
          <w:rFonts w:ascii="OpenSans-Extrabold" w:hAnsi="OpenSans-Extrabold" w:cs="OpenSans-Extrabold"/>
          <w:b/>
          <w:sz w:val="18"/>
          <w:szCs w:val="18"/>
        </w:rPr>
        <w:t>FRANCO-BELGE CHOOZ A</w:t>
      </w:r>
    </w:p>
    <w:p w14:paraId="110B56A9" w14:textId="77777777" w:rsidR="00F42609" w:rsidRDefault="00F42609" w:rsidP="006B39E5">
      <w:pPr>
        <w:autoSpaceDE w:val="0"/>
        <w:autoSpaceDN w:val="0"/>
        <w:adjustRightInd w:val="0"/>
        <w:spacing w:after="0" w:line="240" w:lineRule="auto"/>
        <w:rPr>
          <w:rFonts w:ascii="CenturyStd-Light" w:hAnsi="CenturyStd-Light" w:cs="CenturyStd-Light"/>
          <w:color w:val="000000"/>
          <w:sz w:val="18"/>
          <w:szCs w:val="18"/>
        </w:rPr>
      </w:pPr>
    </w:p>
    <w:p w14:paraId="7B084039" w14:textId="77777777" w:rsidR="006B39E5" w:rsidRDefault="006B39E5" w:rsidP="006B39E5">
      <w:pPr>
        <w:autoSpaceDE w:val="0"/>
        <w:autoSpaceDN w:val="0"/>
        <w:adjustRightInd w:val="0"/>
        <w:spacing w:after="0" w:line="240" w:lineRule="auto"/>
        <w:rPr>
          <w:rFonts w:ascii="CenturyStd-Light" w:hAnsi="CenturyStd-Light" w:cs="CenturyStd-Light"/>
          <w:color w:val="000000"/>
          <w:sz w:val="18"/>
          <w:szCs w:val="18"/>
        </w:rPr>
      </w:pPr>
      <w:r>
        <w:rPr>
          <w:rFonts w:ascii="CenturyStd-Light" w:hAnsi="CenturyStd-Light" w:cs="CenturyStd-Light"/>
          <w:color w:val="000000"/>
          <w:sz w:val="18"/>
          <w:szCs w:val="18"/>
        </w:rPr>
        <w:t>Pourquoi Chooz A</w:t>
      </w:r>
      <w:r>
        <w:rPr>
          <w:rFonts w:ascii="OpenSans-Extrabold" w:hAnsi="OpenSans-Extrabold" w:cs="OpenSans-Extrabold"/>
          <w:color w:val="000000"/>
          <w:sz w:val="14"/>
          <w:szCs w:val="14"/>
        </w:rPr>
        <w:t xml:space="preserve"> </w:t>
      </w:r>
      <w:r>
        <w:rPr>
          <w:rFonts w:ascii="CenturyStd-Light" w:hAnsi="CenturyStd-Light" w:cs="CenturyStd-Light"/>
          <w:color w:val="000000"/>
          <w:sz w:val="18"/>
          <w:szCs w:val="18"/>
        </w:rPr>
        <w:t>a-t-elle été</w:t>
      </w:r>
      <w:r w:rsidR="002710CC">
        <w:rPr>
          <w:rFonts w:ascii="CenturyStd-Light" w:hAnsi="CenturyStd-Light" w:cs="CenturyStd-Light"/>
          <w:color w:val="000000"/>
          <w:sz w:val="18"/>
          <w:szCs w:val="18"/>
        </w:rPr>
        <w:t xml:space="preserve"> </w:t>
      </w:r>
      <w:r>
        <w:rPr>
          <w:rFonts w:ascii="CenturyStd-Light" w:hAnsi="CenturyStd-Light" w:cs="CenturyStd-Light"/>
          <w:color w:val="000000"/>
          <w:sz w:val="18"/>
          <w:szCs w:val="18"/>
        </w:rPr>
        <w:t>souterraine ? Un élément psychologique</w:t>
      </w:r>
      <w:r w:rsidR="002710CC">
        <w:rPr>
          <w:rFonts w:ascii="CenturyStd-Light" w:hAnsi="CenturyStd-Light" w:cs="CenturyStd-Light"/>
          <w:color w:val="000000"/>
          <w:sz w:val="18"/>
          <w:szCs w:val="18"/>
        </w:rPr>
        <w:t xml:space="preserve"> </w:t>
      </w:r>
      <w:r>
        <w:rPr>
          <w:rFonts w:ascii="CenturyStd-Light" w:hAnsi="CenturyStd-Light" w:cs="CenturyStd-Light"/>
          <w:color w:val="000000"/>
          <w:sz w:val="18"/>
          <w:szCs w:val="18"/>
        </w:rPr>
        <w:t>a dû jouer : une certaine</w:t>
      </w:r>
    </w:p>
    <w:p w14:paraId="0694B8B5" w14:textId="77777777" w:rsidR="006B39E5" w:rsidRDefault="006B39E5" w:rsidP="006B39E5">
      <w:pPr>
        <w:autoSpaceDE w:val="0"/>
        <w:autoSpaceDN w:val="0"/>
        <w:adjustRightInd w:val="0"/>
        <w:spacing w:after="0" w:line="240" w:lineRule="auto"/>
        <w:rPr>
          <w:rFonts w:ascii="CenturyStd-Light" w:hAnsi="CenturyStd-Light" w:cs="CenturyStd-Light"/>
          <w:color w:val="000000"/>
          <w:sz w:val="18"/>
          <w:szCs w:val="18"/>
        </w:rPr>
      </w:pPr>
      <w:proofErr w:type="gramStart"/>
      <w:r>
        <w:rPr>
          <w:rFonts w:ascii="CenturyStd-Light" w:hAnsi="CenturyStd-Light" w:cs="CenturyStd-Light"/>
          <w:color w:val="000000"/>
          <w:sz w:val="18"/>
          <w:szCs w:val="18"/>
        </w:rPr>
        <w:t>discrétion</w:t>
      </w:r>
      <w:proofErr w:type="gramEnd"/>
      <w:r>
        <w:rPr>
          <w:rFonts w:ascii="CenturyStd-Light" w:hAnsi="CenturyStd-Light" w:cs="CenturyStd-Light"/>
          <w:color w:val="000000"/>
          <w:sz w:val="18"/>
          <w:szCs w:val="18"/>
        </w:rPr>
        <w:t xml:space="preserve"> était de mise puisque</w:t>
      </w:r>
      <w:r w:rsidR="002710CC">
        <w:rPr>
          <w:rFonts w:ascii="CenturyStd-Light" w:hAnsi="CenturyStd-Light" w:cs="CenturyStd-Light"/>
          <w:color w:val="000000"/>
          <w:sz w:val="18"/>
          <w:szCs w:val="18"/>
        </w:rPr>
        <w:t xml:space="preserve"> </w:t>
      </w:r>
      <w:r>
        <w:rPr>
          <w:rFonts w:ascii="CenturyStd-Light" w:hAnsi="CenturyStd-Light" w:cs="CenturyStd-Light"/>
          <w:color w:val="000000"/>
          <w:sz w:val="18"/>
          <w:szCs w:val="18"/>
        </w:rPr>
        <w:t>le Général s’opposait au remplacement</w:t>
      </w:r>
      <w:r w:rsidR="002710CC">
        <w:rPr>
          <w:rFonts w:ascii="CenturyStd-Light" w:hAnsi="CenturyStd-Light" w:cs="CenturyStd-Light"/>
          <w:color w:val="000000"/>
          <w:sz w:val="18"/>
          <w:szCs w:val="18"/>
        </w:rPr>
        <w:t xml:space="preserve"> </w:t>
      </w:r>
      <w:r>
        <w:rPr>
          <w:rFonts w:ascii="CenturyStd-Light" w:hAnsi="CenturyStd-Light" w:cs="CenturyStd-Light"/>
          <w:color w:val="000000"/>
          <w:sz w:val="18"/>
          <w:szCs w:val="18"/>
        </w:rPr>
        <w:t>de la filière française UNGG</w:t>
      </w:r>
      <w:r w:rsidR="002710CC">
        <w:rPr>
          <w:rFonts w:ascii="CenturyStd-Light" w:hAnsi="CenturyStd-Light" w:cs="CenturyStd-Light"/>
          <w:color w:val="000000"/>
          <w:sz w:val="18"/>
          <w:szCs w:val="18"/>
        </w:rPr>
        <w:t xml:space="preserve"> </w:t>
      </w:r>
      <w:r>
        <w:rPr>
          <w:rFonts w:ascii="CenturyStd-Light" w:hAnsi="CenturyStd-Light" w:cs="CenturyStd-Light"/>
          <w:color w:val="000000"/>
          <w:sz w:val="18"/>
          <w:szCs w:val="18"/>
        </w:rPr>
        <w:t>(uranium naturel-</w:t>
      </w:r>
      <w:r w:rsidR="002710CC">
        <w:rPr>
          <w:rFonts w:ascii="CenturyStd-Light" w:hAnsi="CenturyStd-Light" w:cs="CenturyStd-Light"/>
          <w:color w:val="000000"/>
          <w:sz w:val="18"/>
          <w:szCs w:val="18"/>
        </w:rPr>
        <w:t xml:space="preserve"> </w:t>
      </w:r>
      <w:r w:rsidR="00C10EB2">
        <w:rPr>
          <w:rFonts w:ascii="CenturyStd-Light" w:hAnsi="CenturyStd-Light" w:cs="CenturyStd-Light"/>
          <w:color w:val="000000"/>
          <w:sz w:val="18"/>
          <w:szCs w:val="18"/>
        </w:rPr>
        <w:t>g</w:t>
      </w:r>
      <w:r>
        <w:rPr>
          <w:rFonts w:ascii="CenturyStd-Light" w:hAnsi="CenturyStd-Light" w:cs="CenturyStd-Light"/>
          <w:color w:val="000000"/>
          <w:sz w:val="18"/>
          <w:szCs w:val="18"/>
        </w:rPr>
        <w:t>raphite-gaz) par</w:t>
      </w:r>
      <w:r w:rsidR="002710CC">
        <w:rPr>
          <w:rFonts w:ascii="CenturyStd-Light" w:hAnsi="CenturyStd-Light" w:cs="CenturyStd-Light"/>
          <w:color w:val="000000"/>
          <w:sz w:val="18"/>
          <w:szCs w:val="18"/>
        </w:rPr>
        <w:t xml:space="preserve"> </w:t>
      </w:r>
      <w:r>
        <w:rPr>
          <w:rFonts w:ascii="CenturyStd-Light" w:hAnsi="CenturyStd-Light" w:cs="CenturyStd-Light"/>
          <w:color w:val="000000"/>
          <w:sz w:val="18"/>
          <w:szCs w:val="18"/>
        </w:rPr>
        <w:t>un matériel américain ; c’est une</w:t>
      </w:r>
      <w:r w:rsidR="002710CC">
        <w:rPr>
          <w:rFonts w:ascii="CenturyStd-Light" w:hAnsi="CenturyStd-Light" w:cs="CenturyStd-Light"/>
          <w:color w:val="000000"/>
          <w:sz w:val="18"/>
          <w:szCs w:val="18"/>
        </w:rPr>
        <w:t xml:space="preserve"> </w:t>
      </w:r>
      <w:r>
        <w:rPr>
          <w:rFonts w:ascii="CenturyStd-Light" w:hAnsi="CenturyStd-Light" w:cs="CenturyStd-Light"/>
          <w:color w:val="000000"/>
          <w:sz w:val="18"/>
          <w:szCs w:val="18"/>
        </w:rPr>
        <w:t>filiale franco-belge d’EDF et d’Electrabel,</w:t>
      </w:r>
      <w:r w:rsidR="002710CC">
        <w:rPr>
          <w:rFonts w:ascii="CenturyStd-Light" w:hAnsi="CenturyStd-Light" w:cs="CenturyStd-Light"/>
          <w:color w:val="000000"/>
          <w:sz w:val="18"/>
          <w:szCs w:val="18"/>
        </w:rPr>
        <w:t xml:space="preserve"> </w:t>
      </w:r>
      <w:r>
        <w:rPr>
          <w:rFonts w:ascii="CenturyStd-Light" w:hAnsi="CenturyStd-Light" w:cs="CenturyStd-Light"/>
          <w:color w:val="000000"/>
          <w:sz w:val="18"/>
          <w:szCs w:val="18"/>
        </w:rPr>
        <w:t>SENA, Société nucléaire des</w:t>
      </w:r>
      <w:r w:rsidR="00C10EB2">
        <w:rPr>
          <w:rFonts w:ascii="CenturyStd-Light" w:hAnsi="CenturyStd-Light" w:cs="CenturyStd-Light"/>
          <w:color w:val="000000"/>
          <w:sz w:val="18"/>
          <w:szCs w:val="18"/>
        </w:rPr>
        <w:t xml:space="preserve"> </w:t>
      </w:r>
      <w:r>
        <w:rPr>
          <w:rFonts w:ascii="CenturyStd-Light" w:hAnsi="CenturyStd-Light" w:cs="CenturyStd-Light"/>
          <w:color w:val="000000"/>
          <w:sz w:val="18"/>
          <w:szCs w:val="18"/>
        </w:rPr>
        <w:t>Ardennes, qui a commandé un réacteur</w:t>
      </w:r>
      <w:r w:rsidR="002710CC">
        <w:rPr>
          <w:rFonts w:ascii="CenturyStd-Light" w:hAnsi="CenturyStd-Light" w:cs="CenturyStd-Light"/>
          <w:color w:val="000000"/>
          <w:sz w:val="18"/>
          <w:szCs w:val="18"/>
        </w:rPr>
        <w:t xml:space="preserve"> </w:t>
      </w:r>
      <w:r>
        <w:rPr>
          <w:rFonts w:ascii="CenturyStd-Light" w:hAnsi="CenturyStd-Light" w:cs="CenturyStd-Light"/>
          <w:color w:val="000000"/>
          <w:sz w:val="18"/>
          <w:szCs w:val="18"/>
        </w:rPr>
        <w:t>Westinghouse à eau pressurisée</w:t>
      </w:r>
      <w:r w:rsidR="002710CC">
        <w:rPr>
          <w:rFonts w:ascii="CenturyStd-Light" w:hAnsi="CenturyStd-Light" w:cs="CenturyStd-Light"/>
          <w:color w:val="000000"/>
          <w:sz w:val="18"/>
          <w:szCs w:val="18"/>
        </w:rPr>
        <w:t xml:space="preserve"> et l’a placé avec ses auxiliaires dans un cylindre</w:t>
      </w:r>
    </w:p>
    <w:p w14:paraId="127E9DBF" w14:textId="77777777" w:rsidR="00150CE1" w:rsidRDefault="00150CE1" w:rsidP="006B39E5">
      <w:pPr>
        <w:autoSpaceDE w:val="0"/>
        <w:autoSpaceDN w:val="0"/>
        <w:adjustRightInd w:val="0"/>
        <w:spacing w:after="0" w:line="240" w:lineRule="auto"/>
        <w:rPr>
          <w:rFonts w:ascii="CenturyStd-Light" w:hAnsi="CenturyStd-Light" w:cs="CenturyStd-Light"/>
          <w:color w:val="000000"/>
          <w:sz w:val="18"/>
          <w:szCs w:val="18"/>
        </w:rPr>
      </w:pPr>
    </w:p>
    <w:p w14:paraId="1E765F63" w14:textId="77777777" w:rsidR="00BE4094" w:rsidRDefault="00BE4094" w:rsidP="002710CC">
      <w:pPr>
        <w:autoSpaceDE w:val="0"/>
        <w:autoSpaceDN w:val="0"/>
        <w:adjustRightInd w:val="0"/>
        <w:spacing w:after="0" w:line="240" w:lineRule="auto"/>
        <w:jc w:val="center"/>
        <w:rPr>
          <w:rFonts w:ascii="CenturyStd-Light" w:hAnsi="CenturyStd-Light" w:cs="CenturyStd-Light"/>
          <w:color w:val="000000"/>
          <w:sz w:val="18"/>
          <w:szCs w:val="18"/>
        </w:rPr>
      </w:pPr>
      <w:r>
        <w:rPr>
          <w:rFonts w:ascii="CenturyStd-Light" w:hAnsi="CenturyStd-Light" w:cs="CenturyStd-Light"/>
          <w:noProof/>
          <w:color w:val="000000"/>
          <w:sz w:val="18"/>
          <w:szCs w:val="18"/>
          <w:lang w:eastAsia="fr-FR"/>
        </w:rPr>
        <w:drawing>
          <wp:inline distT="0" distB="0" distL="0" distR="0" wp14:anchorId="0A1E2711" wp14:editId="41CD60B0">
            <wp:extent cx="3372736" cy="3348243"/>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3374755" cy="3350247"/>
                    </a:xfrm>
                    <a:prstGeom prst="rect">
                      <a:avLst/>
                    </a:prstGeom>
                    <a:noFill/>
                    <a:ln w="9525">
                      <a:noFill/>
                      <a:miter lim="800000"/>
                      <a:headEnd/>
                      <a:tailEnd/>
                    </a:ln>
                  </pic:spPr>
                </pic:pic>
              </a:graphicData>
            </a:graphic>
          </wp:inline>
        </w:drawing>
      </w:r>
    </w:p>
    <w:p w14:paraId="3E3618E1" w14:textId="77777777" w:rsidR="00BE4094" w:rsidRDefault="00BE4094" w:rsidP="00BE4094">
      <w:pPr>
        <w:autoSpaceDE w:val="0"/>
        <w:autoSpaceDN w:val="0"/>
        <w:adjustRightInd w:val="0"/>
        <w:spacing w:after="0" w:line="240" w:lineRule="auto"/>
        <w:jc w:val="center"/>
        <w:rPr>
          <w:rFonts w:ascii="CenturyStd-Light" w:hAnsi="CenturyStd-Light" w:cs="CenturyStd-Light"/>
          <w:color w:val="000000"/>
          <w:sz w:val="18"/>
          <w:szCs w:val="18"/>
        </w:rPr>
      </w:pPr>
    </w:p>
    <w:p w14:paraId="3C654741" w14:textId="77777777" w:rsidR="006B39E5" w:rsidRDefault="006B39E5" w:rsidP="00BE4094">
      <w:pPr>
        <w:autoSpaceDE w:val="0"/>
        <w:autoSpaceDN w:val="0"/>
        <w:adjustRightInd w:val="0"/>
        <w:spacing w:after="0" w:line="240" w:lineRule="auto"/>
        <w:jc w:val="center"/>
        <w:rPr>
          <w:rFonts w:ascii="CenturyStd-Light" w:hAnsi="CenturyStd-Light" w:cs="CenturyStd-Light"/>
          <w:color w:val="000000"/>
          <w:sz w:val="14"/>
          <w:szCs w:val="14"/>
        </w:rPr>
      </w:pPr>
      <w:r>
        <w:rPr>
          <w:rFonts w:ascii="CenturyStd-Light" w:hAnsi="CenturyStd-Light" w:cs="CenturyStd-Light"/>
          <w:color w:val="000000"/>
          <w:sz w:val="14"/>
          <w:szCs w:val="14"/>
        </w:rPr>
        <w:t>Figure 2 : photo d’une galette prélevée à la partie supérieure d’un câble de précontrainte</w:t>
      </w:r>
    </w:p>
    <w:p w14:paraId="146B6873" w14:textId="77777777" w:rsidR="00BE4094" w:rsidRDefault="00BE4094" w:rsidP="006B39E5">
      <w:pPr>
        <w:autoSpaceDE w:val="0"/>
        <w:autoSpaceDN w:val="0"/>
        <w:adjustRightInd w:val="0"/>
        <w:spacing w:after="0" w:line="240" w:lineRule="auto"/>
        <w:rPr>
          <w:rFonts w:ascii="CenturyStd-Light" w:hAnsi="CenturyStd-Light" w:cs="CenturyStd-Light"/>
          <w:color w:val="000000"/>
          <w:sz w:val="14"/>
          <w:szCs w:val="14"/>
        </w:rPr>
      </w:pPr>
    </w:p>
    <w:p w14:paraId="7792C377" w14:textId="77777777" w:rsidR="006B39E5" w:rsidRDefault="006B39E5" w:rsidP="006B39E5">
      <w:pPr>
        <w:autoSpaceDE w:val="0"/>
        <w:autoSpaceDN w:val="0"/>
        <w:adjustRightInd w:val="0"/>
        <w:spacing w:after="0" w:line="240" w:lineRule="auto"/>
        <w:rPr>
          <w:rFonts w:ascii="CenturyStd-Light" w:hAnsi="CenturyStd-Light" w:cs="CenturyStd-Light"/>
          <w:color w:val="000000"/>
          <w:sz w:val="18"/>
          <w:szCs w:val="18"/>
        </w:rPr>
      </w:pPr>
      <w:proofErr w:type="gramStart"/>
      <w:r w:rsidRPr="003975B5">
        <w:rPr>
          <w:rFonts w:ascii="CenturyStd-Light" w:hAnsi="CenturyStd-Light" w:cs="CenturyStd-Light"/>
          <w:color w:val="000000"/>
          <w:sz w:val="18"/>
          <w:szCs w:val="18"/>
        </w:rPr>
        <w:t>vertical</w:t>
      </w:r>
      <w:proofErr w:type="gramEnd"/>
      <w:r w:rsidRPr="003975B5">
        <w:rPr>
          <w:rFonts w:ascii="CenturyStd-Light" w:hAnsi="CenturyStd-Light" w:cs="CenturyStd-Light"/>
          <w:color w:val="000000"/>
          <w:sz w:val="18"/>
          <w:szCs w:val="18"/>
        </w:rPr>
        <w:t xml:space="preserve"> : les vides du coulis primaire, gris, dus à la ségrégation, sont mis en évidence par</w:t>
      </w:r>
      <w:r w:rsidR="002710CC" w:rsidRPr="003975B5">
        <w:rPr>
          <w:rFonts w:ascii="CenturyStd-Light" w:hAnsi="CenturyStd-Light" w:cs="CenturyStd-Light"/>
          <w:color w:val="000000"/>
          <w:sz w:val="18"/>
          <w:szCs w:val="18"/>
        </w:rPr>
        <w:t xml:space="preserve"> </w:t>
      </w:r>
      <w:r w:rsidRPr="003975B5">
        <w:rPr>
          <w:rFonts w:ascii="CenturyStd-Light" w:hAnsi="CenturyStd-Light" w:cs="CenturyStd-Light"/>
          <w:color w:val="000000"/>
          <w:sz w:val="18"/>
          <w:szCs w:val="18"/>
        </w:rPr>
        <w:t>un coulis secondaire coloré en rouge.</w:t>
      </w:r>
      <w:r w:rsidRPr="003975B5">
        <w:rPr>
          <w:rFonts w:ascii="OpenSans-Extrabold" w:hAnsi="OpenSans-Extrabold" w:cs="OpenSans-Extrabold"/>
          <w:color w:val="000000"/>
          <w:sz w:val="18"/>
          <w:szCs w:val="18"/>
        </w:rPr>
        <w:t xml:space="preserve">1. </w:t>
      </w:r>
      <w:r w:rsidRPr="003975B5">
        <w:rPr>
          <w:rFonts w:ascii="CenturyStd-Light" w:hAnsi="CenturyStd-Light" w:cs="CenturyStd-Light"/>
          <w:color w:val="000000"/>
          <w:sz w:val="18"/>
          <w:szCs w:val="18"/>
        </w:rPr>
        <w:t>Il s’agissait de gros réacteurs plutonigènes à uranium naturel – graphite, refroidis à l’eau ordinaire, d’une puissance de 1 800 MW thermique</w:t>
      </w:r>
      <w:r w:rsidR="003659F7" w:rsidRPr="003975B5">
        <w:rPr>
          <w:rFonts w:ascii="CenturyStd-Light" w:hAnsi="CenturyStd-Light" w:cs="CenturyStd-Light"/>
          <w:color w:val="000000"/>
          <w:sz w:val="18"/>
          <w:szCs w:val="18"/>
        </w:rPr>
        <w:t xml:space="preserve"> </w:t>
      </w:r>
      <w:r w:rsidRPr="003975B5">
        <w:rPr>
          <w:rFonts w:ascii="CenturyStd-Light" w:hAnsi="CenturyStd-Light" w:cs="CenturyStd-Light"/>
          <w:color w:val="000000"/>
          <w:sz w:val="18"/>
          <w:szCs w:val="18"/>
        </w:rPr>
        <w:t>chacun : démarrage en 1958 (réacteur « AD »), 1961 (réacteur ADE-1), et 1964 (réacteurs ADE-2). Les deux premiers étaient refroidis à l’eau</w:t>
      </w:r>
      <w:r w:rsidR="003659F7" w:rsidRPr="003975B5">
        <w:rPr>
          <w:rFonts w:ascii="CenturyStd-Light" w:hAnsi="CenturyStd-Light" w:cs="CenturyStd-Light"/>
          <w:color w:val="000000"/>
          <w:sz w:val="18"/>
          <w:szCs w:val="18"/>
        </w:rPr>
        <w:t xml:space="preserve"> </w:t>
      </w:r>
      <w:r w:rsidRPr="003975B5">
        <w:rPr>
          <w:rFonts w:ascii="CenturyStd-Light" w:hAnsi="CenturyStd-Light" w:cs="CenturyStd-Light"/>
          <w:color w:val="000000"/>
          <w:sz w:val="18"/>
          <w:szCs w:val="18"/>
        </w:rPr>
        <w:t xml:space="preserve">en circuit ouvert et le troisième en circuit fermé. </w:t>
      </w:r>
      <w:r w:rsidRPr="003975B5">
        <w:rPr>
          <w:rFonts w:ascii="OpenSans-Extrabold" w:hAnsi="OpenSans-Extrabold" w:cs="OpenSans-Extrabold"/>
          <w:color w:val="000000"/>
          <w:sz w:val="18"/>
          <w:szCs w:val="18"/>
        </w:rPr>
        <w:t xml:space="preserve">2. </w:t>
      </w:r>
      <w:r w:rsidRPr="003975B5">
        <w:rPr>
          <w:rFonts w:ascii="CenturyStd-Light" w:hAnsi="CenturyStd-Light" w:cs="CenturyStd-Light"/>
          <w:color w:val="000000"/>
          <w:sz w:val="18"/>
          <w:szCs w:val="18"/>
        </w:rPr>
        <w:t xml:space="preserve">Chooz A était un réacteur de type REP, 305 </w:t>
      </w:r>
      <w:proofErr w:type="spellStart"/>
      <w:r w:rsidRPr="003975B5">
        <w:rPr>
          <w:rFonts w:ascii="CenturyStd-Light" w:hAnsi="CenturyStd-Light" w:cs="CenturyStd-Light"/>
          <w:color w:val="000000"/>
          <w:sz w:val="18"/>
          <w:szCs w:val="18"/>
        </w:rPr>
        <w:t>MWe</w:t>
      </w:r>
      <w:proofErr w:type="spellEnd"/>
      <w:r w:rsidRPr="003975B5">
        <w:rPr>
          <w:rFonts w:ascii="CenturyStd-Light" w:hAnsi="CenturyStd-Light" w:cs="CenturyStd-Light"/>
          <w:color w:val="000000"/>
          <w:sz w:val="18"/>
          <w:szCs w:val="18"/>
        </w:rPr>
        <w:t xml:space="preserve">. </w:t>
      </w:r>
      <w:r w:rsidRPr="003975B5">
        <w:rPr>
          <w:rFonts w:ascii="OpenSans-Extrabold" w:hAnsi="OpenSans-Extrabold" w:cs="OpenSans-Extrabold"/>
          <w:color w:val="000000"/>
          <w:sz w:val="18"/>
          <w:szCs w:val="18"/>
        </w:rPr>
        <w:t xml:space="preserve">3. </w:t>
      </w:r>
      <w:r w:rsidRPr="003975B5">
        <w:rPr>
          <w:rFonts w:ascii="CenturyStd-Light" w:hAnsi="CenturyStd-Light" w:cs="CenturyStd-Light"/>
          <w:color w:val="000000"/>
          <w:sz w:val="18"/>
          <w:szCs w:val="18"/>
        </w:rPr>
        <w:t>Colline de grès et schiste ; parois en</w:t>
      </w:r>
      <w:r w:rsidR="003659F7" w:rsidRPr="003975B5">
        <w:rPr>
          <w:rFonts w:ascii="CenturyStd-Light" w:hAnsi="CenturyStd-Light" w:cs="CenturyStd-Light"/>
          <w:color w:val="000000"/>
          <w:sz w:val="18"/>
          <w:szCs w:val="18"/>
        </w:rPr>
        <w:t xml:space="preserve"> </w:t>
      </w:r>
      <w:r w:rsidRPr="003975B5">
        <w:rPr>
          <w:rFonts w:ascii="CenturyStd-Light" w:hAnsi="CenturyStd-Light" w:cs="CenturyStd-Light"/>
          <w:color w:val="000000"/>
          <w:sz w:val="18"/>
          <w:szCs w:val="18"/>
        </w:rPr>
        <w:t>béton de 40 cm ancrées au rocher par boulons et armées d’un quadrillage métallique. Voûte béton de 80 cm.</w:t>
      </w:r>
      <w:r w:rsidR="002710CC">
        <w:rPr>
          <w:rFonts w:ascii="CenturyStd-Light" w:hAnsi="CenturyStd-Light" w:cs="CenturyStd-Light"/>
          <w:color w:val="000000"/>
          <w:sz w:val="14"/>
          <w:szCs w:val="14"/>
        </w:rPr>
        <w:t xml:space="preserve"> </w:t>
      </w:r>
      <w:r>
        <w:rPr>
          <w:rFonts w:ascii="CenturyStd-Light" w:hAnsi="CenturyStd-Light" w:cs="CenturyStd-Light"/>
          <w:color w:val="000000"/>
          <w:sz w:val="18"/>
          <w:szCs w:val="18"/>
        </w:rPr>
        <w:t>deux cavernes proches de la frontière,</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au bord de la Meuse, dans la</w:t>
      </w:r>
      <w:r w:rsidR="002710CC">
        <w:rPr>
          <w:rFonts w:ascii="CenturyStd-Light" w:hAnsi="CenturyStd-Light" w:cs="CenturyStd-Light"/>
          <w:color w:val="000000"/>
          <w:sz w:val="18"/>
          <w:szCs w:val="18"/>
        </w:rPr>
        <w:t xml:space="preserve"> </w:t>
      </w:r>
      <w:r>
        <w:rPr>
          <w:rFonts w:ascii="CenturyStd-Light" w:hAnsi="CenturyStd-Light" w:cs="CenturyStd-Light"/>
          <w:color w:val="000000"/>
          <w:sz w:val="18"/>
          <w:szCs w:val="18"/>
        </w:rPr>
        <w:t>« pointe de Givet » (portée de 15 et</w:t>
      </w:r>
      <w:r w:rsidR="002710CC">
        <w:rPr>
          <w:rFonts w:ascii="CenturyStd-Light" w:hAnsi="CenturyStd-Light" w:cs="CenturyStd-Light"/>
          <w:color w:val="000000"/>
          <w:sz w:val="18"/>
          <w:szCs w:val="18"/>
        </w:rPr>
        <w:t xml:space="preserve"> </w:t>
      </w:r>
      <w:r>
        <w:rPr>
          <w:rFonts w:ascii="CenturyStd-Light" w:hAnsi="CenturyStd-Light" w:cs="CenturyStd-Light"/>
          <w:color w:val="000000"/>
          <w:sz w:val="18"/>
          <w:szCs w:val="18"/>
        </w:rPr>
        <w:t>18 m, hauteur 31 et 34 m).</w:t>
      </w:r>
    </w:p>
    <w:p w14:paraId="54619534" w14:textId="77777777" w:rsidR="00C10EB2" w:rsidRDefault="002710CC" w:rsidP="006B39E5">
      <w:pPr>
        <w:autoSpaceDE w:val="0"/>
        <w:autoSpaceDN w:val="0"/>
        <w:adjustRightInd w:val="0"/>
        <w:spacing w:after="0" w:line="240" w:lineRule="auto"/>
        <w:rPr>
          <w:rFonts w:ascii="CenturyStd-Light" w:hAnsi="CenturyStd-Light" w:cs="CenturyStd-Light"/>
          <w:color w:val="000000"/>
          <w:sz w:val="18"/>
          <w:szCs w:val="18"/>
        </w:rPr>
      </w:pPr>
      <w:r>
        <w:rPr>
          <w:rFonts w:ascii="CenturyStd-Light" w:hAnsi="CenturyStd-Light" w:cs="CenturyStd-Light"/>
          <w:color w:val="000000"/>
          <w:sz w:val="18"/>
          <w:szCs w:val="18"/>
        </w:rPr>
        <w:tab/>
      </w:r>
    </w:p>
    <w:p w14:paraId="3EA5D82A" w14:textId="77777777" w:rsidR="006B39E5" w:rsidRDefault="006B39E5" w:rsidP="006B39E5">
      <w:pPr>
        <w:autoSpaceDE w:val="0"/>
        <w:autoSpaceDN w:val="0"/>
        <w:adjustRightInd w:val="0"/>
        <w:spacing w:after="0" w:line="240" w:lineRule="auto"/>
        <w:rPr>
          <w:rFonts w:ascii="CenturyStd-Light" w:hAnsi="CenturyStd-Light" w:cs="CenturyStd-Light"/>
          <w:color w:val="000000"/>
          <w:sz w:val="18"/>
          <w:szCs w:val="18"/>
        </w:rPr>
      </w:pPr>
      <w:r>
        <w:rPr>
          <w:rFonts w:ascii="CenturyStd-Light" w:hAnsi="CenturyStd-Light" w:cs="CenturyStd-Light"/>
          <w:color w:val="000000"/>
          <w:sz w:val="18"/>
          <w:szCs w:val="18"/>
        </w:rPr>
        <w:t>L’élément majeur était technique :</w:t>
      </w:r>
      <w:r w:rsidR="00C10EB2">
        <w:rPr>
          <w:rFonts w:ascii="CenturyStd-Light" w:hAnsi="CenturyStd-Light" w:cs="CenturyStd-Light"/>
          <w:color w:val="000000"/>
          <w:sz w:val="18"/>
          <w:szCs w:val="18"/>
        </w:rPr>
        <w:t xml:space="preserve"> </w:t>
      </w:r>
      <w:r>
        <w:rPr>
          <w:rFonts w:ascii="CenturyStd-Light" w:hAnsi="CenturyStd-Light" w:cs="CenturyStd-Light"/>
          <w:color w:val="000000"/>
          <w:sz w:val="18"/>
          <w:szCs w:val="18"/>
        </w:rPr>
        <w:t>la précontrainte verticale des bâtiments</w:t>
      </w:r>
      <w:r w:rsidR="002710CC">
        <w:rPr>
          <w:rFonts w:ascii="CenturyStd-Light" w:hAnsi="CenturyStd-Light" w:cs="CenturyStd-Light"/>
          <w:color w:val="000000"/>
          <w:sz w:val="18"/>
          <w:szCs w:val="18"/>
        </w:rPr>
        <w:t xml:space="preserve"> </w:t>
      </w:r>
      <w:r>
        <w:rPr>
          <w:rFonts w:ascii="CenturyStd-Light" w:hAnsi="CenturyStd-Light" w:cs="CenturyStd-Light"/>
          <w:color w:val="000000"/>
          <w:sz w:val="18"/>
          <w:szCs w:val="18"/>
        </w:rPr>
        <w:t>réacteurs classiques était</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mena</w:t>
      </w:r>
      <w:r w:rsidR="002710CC">
        <w:rPr>
          <w:rFonts w:ascii="CenturyStd-Light" w:hAnsi="CenturyStd-Light" w:cs="CenturyStd-Light"/>
          <w:color w:val="000000"/>
          <w:sz w:val="18"/>
          <w:szCs w:val="18"/>
        </w:rPr>
        <w:t xml:space="preserve">cée par la corrosion des </w:t>
      </w:r>
      <w:proofErr w:type="spellStart"/>
      <w:r w:rsidR="002710CC">
        <w:rPr>
          <w:rFonts w:ascii="CenturyStd-Light" w:hAnsi="CenturyStd-Light" w:cs="CenturyStd-Light"/>
          <w:color w:val="000000"/>
          <w:sz w:val="18"/>
          <w:szCs w:val="18"/>
        </w:rPr>
        <w:t>aciers</w:t>
      </w:r>
      <w:r>
        <w:rPr>
          <w:rFonts w:ascii="CenturyStd-Light" w:hAnsi="CenturyStd-Light" w:cs="CenturyStd-Light"/>
          <w:color w:val="000000"/>
          <w:sz w:val="18"/>
          <w:szCs w:val="18"/>
        </w:rPr>
        <w:t>suite</w:t>
      </w:r>
      <w:proofErr w:type="spellEnd"/>
      <w:r>
        <w:rPr>
          <w:rFonts w:ascii="CenturyStd-Light" w:hAnsi="CenturyStd-Light" w:cs="CenturyStd-Light"/>
          <w:color w:val="000000"/>
          <w:sz w:val="18"/>
          <w:szCs w:val="18"/>
        </w:rPr>
        <w:t xml:space="preserve"> à la ségrégation gravitaire</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dans les coulis de protection des</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câbles verticaux de grande hauteur</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w:t>
      </w:r>
      <w:r>
        <w:rPr>
          <w:rFonts w:ascii="CenturyStd-LightItalic" w:hAnsi="CenturyStd-LightItalic" w:cs="CenturyStd-LightItalic"/>
          <w:i/>
          <w:iCs/>
          <w:color w:val="000000"/>
          <w:sz w:val="18"/>
          <w:szCs w:val="18"/>
        </w:rPr>
        <w:t>figure 2</w:t>
      </w:r>
      <w:r>
        <w:rPr>
          <w:rFonts w:ascii="CenturyStd-Light" w:hAnsi="CenturyStd-Light" w:cs="CenturyStd-Light"/>
          <w:color w:val="000000"/>
          <w:sz w:val="18"/>
          <w:szCs w:val="18"/>
        </w:rPr>
        <w:t>). EDF a mené de longues</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études pour définir la composition</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des coulis et les procédures d’injection</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des gaines avant d’accepter</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les enceintes en béton précontraint</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(les câbles horizontaux, dans les</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ponts par exemple, échappent à</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cette menace). La solution souterraine</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bénéficie d’une précontrainte</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naturelle gratuite</w:t>
      </w:r>
      <w:r>
        <w:rPr>
          <w:rFonts w:ascii="OpenSans-Extrabold" w:hAnsi="OpenSans-Extrabold" w:cs="OpenSans-Extrabold"/>
          <w:color w:val="000000"/>
          <w:sz w:val="14"/>
          <w:szCs w:val="14"/>
        </w:rPr>
        <w:t>3</w:t>
      </w:r>
      <w:r>
        <w:rPr>
          <w:rFonts w:ascii="CenturyStd-Light" w:hAnsi="CenturyStd-Light" w:cs="CenturyStd-Light"/>
          <w:color w:val="000000"/>
          <w:sz w:val="18"/>
          <w:szCs w:val="18"/>
        </w:rPr>
        <w:t>.</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En Allemagne c’est la protection</w:t>
      </w:r>
      <w:r w:rsidR="00C10EB2">
        <w:rPr>
          <w:rFonts w:ascii="CenturyStd-Light" w:hAnsi="CenturyStd-Light" w:cs="CenturyStd-Light"/>
          <w:color w:val="000000"/>
          <w:sz w:val="18"/>
          <w:szCs w:val="18"/>
        </w:rPr>
        <w:t xml:space="preserve"> </w:t>
      </w:r>
      <w:r>
        <w:rPr>
          <w:rFonts w:ascii="CenturyStd-Light" w:hAnsi="CenturyStd-Light" w:cs="CenturyStd-Light"/>
          <w:color w:val="000000"/>
          <w:sz w:val="18"/>
          <w:szCs w:val="18"/>
        </w:rPr>
        <w:t>contre les bombardements qui a</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conduit à étudier l’option souterraine</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(ou simplement le tumulus,</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butte de remblai couvrant une centrale</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plus ou moins enfoncée dans</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le sol) et on constate évidemment</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que la protection joue dans les deux</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sens : elle évite ou retarde les pollutions</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radioactives de l’environnement</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en cas d’accident interne</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à la centrale ; depuis l’accident de</w:t>
      </w:r>
      <w:r w:rsidR="00C10EB2">
        <w:rPr>
          <w:rFonts w:ascii="CenturyStd-Light" w:hAnsi="CenturyStd-Light" w:cs="CenturyStd-Light"/>
          <w:color w:val="000000"/>
          <w:sz w:val="18"/>
          <w:szCs w:val="18"/>
        </w:rPr>
        <w:t xml:space="preserve"> </w:t>
      </w:r>
      <w:r>
        <w:rPr>
          <w:rFonts w:ascii="CenturyStd-Light" w:hAnsi="CenturyStd-Light" w:cs="CenturyStd-Light"/>
          <w:color w:val="000000"/>
          <w:sz w:val="18"/>
          <w:szCs w:val="18"/>
        </w:rPr>
        <w:t>Fukushima, c’est cet argument qui</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semble le plus important.</w:t>
      </w:r>
    </w:p>
    <w:p w14:paraId="7B6288CA" w14:textId="77777777" w:rsidR="00BE4094" w:rsidRDefault="00BE4094" w:rsidP="006B39E5">
      <w:pPr>
        <w:autoSpaceDE w:val="0"/>
        <w:autoSpaceDN w:val="0"/>
        <w:adjustRightInd w:val="0"/>
        <w:spacing w:after="0" w:line="240" w:lineRule="auto"/>
        <w:rPr>
          <w:rFonts w:ascii="OpenSans-Extrabold" w:hAnsi="OpenSans-Extrabold" w:cs="OpenSans-Extrabold"/>
          <w:b/>
          <w:sz w:val="18"/>
          <w:szCs w:val="18"/>
        </w:rPr>
      </w:pPr>
    </w:p>
    <w:p w14:paraId="0E269CCE" w14:textId="77777777" w:rsidR="006B39E5" w:rsidRPr="00BE4094" w:rsidRDefault="006B39E5" w:rsidP="006B39E5">
      <w:pPr>
        <w:autoSpaceDE w:val="0"/>
        <w:autoSpaceDN w:val="0"/>
        <w:adjustRightInd w:val="0"/>
        <w:spacing w:after="0" w:line="240" w:lineRule="auto"/>
        <w:rPr>
          <w:rFonts w:ascii="OpenSans-Extrabold" w:hAnsi="OpenSans-Extrabold" w:cs="OpenSans-Extrabold"/>
          <w:b/>
          <w:sz w:val="18"/>
          <w:szCs w:val="18"/>
        </w:rPr>
      </w:pPr>
      <w:r w:rsidRPr="00BE4094">
        <w:rPr>
          <w:rFonts w:ascii="OpenSans-Extrabold" w:hAnsi="OpenSans-Extrabold" w:cs="OpenSans-Extrabold"/>
          <w:b/>
          <w:sz w:val="18"/>
          <w:szCs w:val="18"/>
        </w:rPr>
        <w:t>FAISABILITÉ D’UNE CAVERNE</w:t>
      </w:r>
      <w:r w:rsidR="00BE4094">
        <w:rPr>
          <w:rFonts w:ascii="OpenSans-Extrabold" w:hAnsi="OpenSans-Extrabold" w:cs="OpenSans-Extrabold"/>
          <w:b/>
          <w:sz w:val="18"/>
          <w:szCs w:val="18"/>
        </w:rPr>
        <w:t xml:space="preserve"> </w:t>
      </w:r>
      <w:r w:rsidRPr="00BE4094">
        <w:rPr>
          <w:rFonts w:ascii="OpenSans-Extrabold" w:hAnsi="OpenSans-Extrabold" w:cs="OpenSans-Extrabold"/>
          <w:b/>
          <w:sz w:val="18"/>
          <w:szCs w:val="18"/>
        </w:rPr>
        <w:t>DE GRANDE PORTÉE</w:t>
      </w:r>
    </w:p>
    <w:p w14:paraId="7A5A4234" w14:textId="77777777" w:rsidR="00BE4094" w:rsidRDefault="00BE4094" w:rsidP="006B39E5">
      <w:pPr>
        <w:autoSpaceDE w:val="0"/>
        <w:autoSpaceDN w:val="0"/>
        <w:adjustRightInd w:val="0"/>
        <w:spacing w:after="0" w:line="240" w:lineRule="auto"/>
        <w:rPr>
          <w:rFonts w:ascii="CenturyStd-Light" w:hAnsi="CenturyStd-Light" w:cs="CenturyStd-Light"/>
          <w:color w:val="000000"/>
          <w:sz w:val="18"/>
          <w:szCs w:val="18"/>
        </w:rPr>
      </w:pPr>
    </w:p>
    <w:p w14:paraId="73AACE02" w14:textId="77777777" w:rsidR="00150CE1" w:rsidRDefault="00150CE1" w:rsidP="00150CE1">
      <w:pPr>
        <w:autoSpaceDE w:val="0"/>
        <w:autoSpaceDN w:val="0"/>
        <w:adjustRightInd w:val="0"/>
        <w:spacing w:after="0" w:line="240" w:lineRule="auto"/>
        <w:jc w:val="center"/>
        <w:rPr>
          <w:rFonts w:ascii="CenturyStd-Light" w:hAnsi="CenturyStd-Light" w:cs="CenturyStd-Light"/>
          <w:color w:val="000000"/>
          <w:sz w:val="18"/>
          <w:szCs w:val="18"/>
        </w:rPr>
      </w:pPr>
    </w:p>
    <w:p w14:paraId="7AAE0C26" w14:textId="77777777" w:rsidR="00150CE1" w:rsidRPr="00C10EB2" w:rsidRDefault="00150CE1" w:rsidP="00150CE1">
      <w:pPr>
        <w:autoSpaceDE w:val="0"/>
        <w:autoSpaceDN w:val="0"/>
        <w:adjustRightInd w:val="0"/>
        <w:spacing w:after="0" w:line="240" w:lineRule="auto"/>
        <w:rPr>
          <w:rFonts w:ascii="CenturyStd-Light" w:hAnsi="CenturyStd-Light" w:cs="CenturyStd-Light"/>
          <w:color w:val="000000"/>
          <w:sz w:val="18"/>
          <w:szCs w:val="18"/>
        </w:rPr>
      </w:pPr>
      <w:r>
        <w:rPr>
          <w:rFonts w:ascii="CenturyStd-Light" w:hAnsi="CenturyStd-Light" w:cs="CenturyStd-Light"/>
          <w:color w:val="000000"/>
          <w:sz w:val="18"/>
          <w:szCs w:val="18"/>
        </w:rPr>
        <w:t>Les  hydrauliciens français ont été</w:t>
      </w:r>
      <w:r w:rsidR="003975B5">
        <w:rPr>
          <w:rFonts w:ascii="CenturyStd-Light" w:hAnsi="CenturyStd-Light" w:cs="CenturyStd-Light"/>
          <w:color w:val="000000"/>
          <w:sz w:val="18"/>
          <w:szCs w:val="18"/>
        </w:rPr>
        <w:t xml:space="preserve"> </w:t>
      </w:r>
      <w:r>
        <w:rPr>
          <w:rFonts w:ascii="CenturyStd-Light" w:hAnsi="CenturyStd-Light" w:cs="CenturyStd-Light"/>
          <w:color w:val="000000"/>
          <w:sz w:val="18"/>
          <w:szCs w:val="18"/>
        </w:rPr>
        <w:t>les pionniers des grandes cavernes industrielles ; pourtant, comme s’il y avait un tabou sur les grandes portées, ils se sont</w:t>
      </w:r>
      <w:r w:rsidR="003975B5">
        <w:rPr>
          <w:rFonts w:ascii="CenturyStd-Light" w:hAnsi="CenturyStd-Light" w:cs="CenturyStd-Light"/>
          <w:color w:val="000000"/>
          <w:sz w:val="18"/>
          <w:szCs w:val="18"/>
        </w:rPr>
        <w:t xml:space="preserve"> </w:t>
      </w:r>
      <w:r>
        <w:rPr>
          <w:rFonts w:ascii="CenturyStd-Light" w:hAnsi="CenturyStd-Light" w:cs="CenturyStd-Light"/>
          <w:color w:val="000000"/>
          <w:sz w:val="18"/>
          <w:szCs w:val="18"/>
        </w:rPr>
        <w:t>longtemps montrés timorés dans la largeur des cavernes de leurs usines souterraines : l’une des premières a été placée au pied du barrage du Sautet (Isère) où l’étroitesse de la gorge ne pouvait accepter qu’une petite partie</w:t>
      </w:r>
      <w:r w:rsidR="00C10EB2">
        <w:rPr>
          <w:rFonts w:ascii="CenturyStd-Light" w:hAnsi="CenturyStd-Light" w:cs="CenturyStd-Light"/>
          <w:color w:val="000000"/>
          <w:sz w:val="18"/>
          <w:szCs w:val="18"/>
        </w:rPr>
        <w:t xml:space="preserve"> </w:t>
      </w:r>
      <w:r>
        <w:rPr>
          <w:rFonts w:ascii="CenturyStd-Light" w:hAnsi="CenturyStd-Light" w:cs="CenturyStd-Light"/>
          <w:color w:val="000000"/>
          <w:sz w:val="18"/>
          <w:szCs w:val="18"/>
        </w:rPr>
        <w:t xml:space="preserve">du bâtiment ; la portée de cette caverne, 36 m pour loger deux rangées de machines, ne devait plus jamais être atteinte ; la portée maximale est de 25 m à La </w:t>
      </w:r>
      <w:proofErr w:type="spellStart"/>
      <w:r>
        <w:rPr>
          <w:rFonts w:ascii="CenturyStd-Light" w:hAnsi="CenturyStd-Light" w:cs="CenturyStd-Light"/>
          <w:color w:val="000000"/>
          <w:sz w:val="18"/>
          <w:szCs w:val="18"/>
        </w:rPr>
        <w:t>Bathie</w:t>
      </w:r>
      <w:proofErr w:type="spellEnd"/>
      <w:r>
        <w:rPr>
          <w:rFonts w:ascii="CenturyStd-Light" w:hAnsi="CenturyStd-Light" w:cs="CenturyStd-Light"/>
          <w:color w:val="000000"/>
          <w:sz w:val="18"/>
          <w:szCs w:val="18"/>
        </w:rPr>
        <w:t xml:space="preserve">, Savoie, alors que l’Allemagne osera 33 m à Waldeck II, grâce à une section ovoïde et un soutènement par boulons et ancrages (cette caverne a été copiée très exactement à </w:t>
      </w:r>
      <w:proofErr w:type="spellStart"/>
      <w:r>
        <w:rPr>
          <w:rFonts w:ascii="CenturyStd-Light" w:hAnsi="CenturyStd-Light" w:cs="CenturyStd-Light"/>
          <w:color w:val="000000"/>
          <w:sz w:val="18"/>
          <w:szCs w:val="18"/>
        </w:rPr>
        <w:t>Imaichi</w:t>
      </w:r>
      <w:proofErr w:type="spellEnd"/>
      <w:r>
        <w:rPr>
          <w:rFonts w:ascii="CenturyStd-Light" w:hAnsi="CenturyStd-Light" w:cs="CenturyStd-Light"/>
          <w:color w:val="000000"/>
          <w:sz w:val="18"/>
          <w:szCs w:val="18"/>
        </w:rPr>
        <w:t xml:space="preserve"> au Japon quelques années plus tard et la Chine a fait mieux depuis). Par une expérience remarquable, la Norvège a balayé le tabou : après la petite centrale nucléaire de Halden, l’entreprise spécialiste de travaux souterrains (défensifs), </w:t>
      </w:r>
      <w:proofErr w:type="spellStart"/>
      <w:r w:rsidRPr="003975B5">
        <w:rPr>
          <w:rFonts w:ascii="CenturyStd-Light" w:hAnsi="CenturyStd-Light" w:cs="CenturyStd-Light"/>
          <w:i/>
          <w:color w:val="000000"/>
          <w:sz w:val="18"/>
          <w:szCs w:val="18"/>
        </w:rPr>
        <w:t>Fortifikasjon</w:t>
      </w:r>
      <w:proofErr w:type="spellEnd"/>
      <w:r>
        <w:rPr>
          <w:rFonts w:ascii="CenturyStd-Light" w:hAnsi="CenturyStd-Light" w:cs="CenturyStd-Light"/>
          <w:color w:val="000000"/>
          <w:sz w:val="18"/>
          <w:szCs w:val="18"/>
        </w:rPr>
        <w:t>, a voulu étudier une</w:t>
      </w:r>
      <w:r w:rsidR="00C10EB2">
        <w:rPr>
          <w:rFonts w:ascii="CenturyStd-Light" w:hAnsi="CenturyStd-Light" w:cs="CenturyStd-Light"/>
          <w:color w:val="000000"/>
          <w:sz w:val="18"/>
          <w:szCs w:val="18"/>
        </w:rPr>
        <w:t xml:space="preserve"> </w:t>
      </w:r>
      <w:r>
        <w:rPr>
          <w:rFonts w:ascii="CenturyStd-Light" w:hAnsi="CenturyStd-Light" w:cs="CenturyStd-Light"/>
          <w:color w:val="000000"/>
          <w:sz w:val="18"/>
          <w:szCs w:val="18"/>
        </w:rPr>
        <w:t xml:space="preserve">centrale de grande puissance ; à titre de démonstration elle a proposé un projet de patinoire souterraine </w:t>
      </w:r>
      <w:r w:rsidR="00982EB7">
        <w:rPr>
          <w:rFonts w:ascii="CenturyStd-Light" w:hAnsi="CenturyStd-Light" w:cs="CenturyStd-Light"/>
          <w:color w:val="000000"/>
          <w:sz w:val="18"/>
          <w:szCs w:val="18"/>
        </w:rPr>
        <w:t xml:space="preserve">dans un </w:t>
      </w:r>
      <w:r>
        <w:rPr>
          <w:rFonts w:ascii="CenturyStd-Light" w:hAnsi="CenturyStd-Light" w:cs="CenturyStd-Light"/>
          <w:color w:val="000000"/>
          <w:sz w:val="18"/>
          <w:szCs w:val="18"/>
        </w:rPr>
        <w:t>massif granitique proche d’Oslo (portée jugée convenable pour un réacteur de l’ordre de 1 000 MW). Comme le pays a abandonné l’énergie</w:t>
      </w:r>
      <w:r w:rsidR="00982EB7">
        <w:rPr>
          <w:rFonts w:ascii="CenturyStd-Light" w:hAnsi="CenturyStd-Light" w:cs="CenturyStd-Light"/>
          <w:color w:val="000000"/>
          <w:sz w:val="18"/>
          <w:szCs w:val="18"/>
        </w:rPr>
        <w:t xml:space="preserve"> </w:t>
      </w:r>
      <w:r>
        <w:rPr>
          <w:rFonts w:ascii="CenturyStd-Light" w:hAnsi="CenturyStd-Light" w:cs="CenturyStd-Light"/>
          <w:color w:val="000000"/>
          <w:sz w:val="18"/>
          <w:szCs w:val="18"/>
        </w:rPr>
        <w:t xml:space="preserve">nucléaire, ce projet est resté lettre morte. Vingt ans après, l’entreprise a pu le proposer pour les Jeux olympiques d’hiver de </w:t>
      </w:r>
      <w:proofErr w:type="spellStart"/>
      <w:r>
        <w:rPr>
          <w:rFonts w:ascii="CenturyStd-Light" w:hAnsi="CenturyStd-Light" w:cs="CenturyStd-Light"/>
          <w:color w:val="000000"/>
          <w:sz w:val="18"/>
          <w:szCs w:val="18"/>
        </w:rPr>
        <w:t>Gjøvik</w:t>
      </w:r>
      <w:proofErr w:type="spellEnd"/>
      <w:r>
        <w:rPr>
          <w:rFonts w:ascii="CenturyStd-Light" w:hAnsi="CenturyStd-Light" w:cs="CenturyStd-Light"/>
          <w:color w:val="000000"/>
          <w:sz w:val="18"/>
          <w:szCs w:val="18"/>
        </w:rPr>
        <w:t xml:space="preserve">   994. La caverne a été acceptée, et exécutée avec succès – en huit mois, pour un coût d’environ 1 000 couronnes le mètre cube (y compris les accès et aménagements intérieurs).</w:t>
      </w:r>
      <w:r w:rsidRPr="00982EB7">
        <w:rPr>
          <w:rFonts w:ascii="CenturyStd-Light" w:hAnsi="CenturyStd-Light" w:cs="CenturyStd-Light"/>
          <w:color w:val="000000"/>
          <w:sz w:val="18"/>
          <w:szCs w:val="18"/>
        </w:rPr>
        <w:t>portée 60 m sans aucun support intermédiaire</w:t>
      </w:r>
      <w:r>
        <w:rPr>
          <w:rFonts w:ascii="CenturyStd-Light" w:hAnsi="CenturyStd-Light" w:cs="CenturyStd-Light"/>
          <w:color w:val="000000"/>
          <w:sz w:val="14"/>
          <w:szCs w:val="14"/>
        </w:rPr>
        <w:t>.</w:t>
      </w:r>
    </w:p>
    <w:p w14:paraId="0214FD87" w14:textId="77777777" w:rsidR="00150CE1" w:rsidRPr="00692D58" w:rsidRDefault="00150CE1" w:rsidP="00150CE1">
      <w:pPr>
        <w:autoSpaceDE w:val="0"/>
        <w:autoSpaceDN w:val="0"/>
        <w:adjustRightInd w:val="0"/>
        <w:spacing w:after="0" w:line="240" w:lineRule="auto"/>
        <w:rPr>
          <w:rFonts w:ascii="CenturyStd-Light" w:hAnsi="CenturyStd-Light" w:cs="CenturyStd-Light"/>
          <w:color w:val="000000"/>
          <w:sz w:val="18"/>
          <w:szCs w:val="18"/>
        </w:rPr>
      </w:pPr>
    </w:p>
    <w:p w14:paraId="7A4ED0EC" w14:textId="77777777" w:rsidR="00150CE1" w:rsidRDefault="00150CE1" w:rsidP="006B39E5">
      <w:pPr>
        <w:autoSpaceDE w:val="0"/>
        <w:autoSpaceDN w:val="0"/>
        <w:adjustRightInd w:val="0"/>
        <w:spacing w:after="0" w:line="240" w:lineRule="auto"/>
        <w:rPr>
          <w:rFonts w:ascii="CenturyStd-Light" w:hAnsi="CenturyStd-Light" w:cs="CenturyStd-Light"/>
          <w:color w:val="000000"/>
          <w:sz w:val="18"/>
          <w:szCs w:val="18"/>
        </w:rPr>
      </w:pPr>
    </w:p>
    <w:p w14:paraId="3CB1E65F" w14:textId="77777777" w:rsidR="00692D58" w:rsidRDefault="00692D58" w:rsidP="00692D58">
      <w:pPr>
        <w:autoSpaceDE w:val="0"/>
        <w:autoSpaceDN w:val="0"/>
        <w:adjustRightInd w:val="0"/>
        <w:spacing w:after="0" w:line="240" w:lineRule="auto"/>
        <w:jc w:val="center"/>
        <w:rPr>
          <w:rFonts w:ascii="CenturyStd-Light" w:hAnsi="CenturyStd-Light" w:cs="CenturyStd-Light"/>
          <w:color w:val="000000"/>
          <w:sz w:val="18"/>
          <w:szCs w:val="18"/>
        </w:rPr>
      </w:pPr>
      <w:r>
        <w:rPr>
          <w:rFonts w:ascii="CenturyStd-Light" w:hAnsi="CenturyStd-Light" w:cs="CenturyStd-Light"/>
          <w:noProof/>
          <w:color w:val="000000"/>
          <w:sz w:val="18"/>
          <w:szCs w:val="18"/>
          <w:lang w:eastAsia="fr-FR"/>
        </w:rPr>
        <w:drawing>
          <wp:inline distT="0" distB="0" distL="0" distR="0" wp14:anchorId="7F030B89" wp14:editId="32DE918A">
            <wp:extent cx="4510420" cy="2146502"/>
            <wp:effectExtent l="19050" t="0" r="443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4510504" cy="2146542"/>
                    </a:xfrm>
                    <a:prstGeom prst="rect">
                      <a:avLst/>
                    </a:prstGeom>
                    <a:noFill/>
                    <a:ln w="9525">
                      <a:noFill/>
                      <a:miter lim="800000"/>
                      <a:headEnd/>
                      <a:tailEnd/>
                    </a:ln>
                  </pic:spPr>
                </pic:pic>
              </a:graphicData>
            </a:graphic>
          </wp:inline>
        </w:drawing>
      </w:r>
    </w:p>
    <w:p w14:paraId="0FDFA601" w14:textId="77777777" w:rsidR="00692D58" w:rsidRDefault="00692D58" w:rsidP="00692D58">
      <w:pPr>
        <w:autoSpaceDE w:val="0"/>
        <w:autoSpaceDN w:val="0"/>
        <w:adjustRightInd w:val="0"/>
        <w:spacing w:after="0" w:line="240" w:lineRule="auto"/>
        <w:jc w:val="center"/>
        <w:rPr>
          <w:rFonts w:ascii="CenturyStd-Light" w:hAnsi="CenturyStd-Light" w:cs="CenturyStd-Light"/>
          <w:color w:val="000000"/>
          <w:sz w:val="18"/>
          <w:szCs w:val="18"/>
        </w:rPr>
      </w:pPr>
    </w:p>
    <w:p w14:paraId="11F01F86" w14:textId="77777777" w:rsidR="00692D58" w:rsidRDefault="00692D58" w:rsidP="00692D58">
      <w:pPr>
        <w:autoSpaceDE w:val="0"/>
        <w:autoSpaceDN w:val="0"/>
        <w:adjustRightInd w:val="0"/>
        <w:spacing w:after="0" w:line="240" w:lineRule="auto"/>
        <w:jc w:val="center"/>
        <w:rPr>
          <w:rFonts w:ascii="CenturyStd-Light" w:hAnsi="CenturyStd-Light" w:cs="CenturyStd-Light"/>
          <w:color w:val="000000"/>
          <w:sz w:val="18"/>
          <w:szCs w:val="18"/>
        </w:rPr>
      </w:pPr>
    </w:p>
    <w:p w14:paraId="43F62322" w14:textId="77777777" w:rsidR="006B39E5" w:rsidRDefault="006B39E5" w:rsidP="006B39E5">
      <w:pPr>
        <w:autoSpaceDE w:val="0"/>
        <w:autoSpaceDN w:val="0"/>
        <w:adjustRightInd w:val="0"/>
        <w:spacing w:after="0" w:line="240" w:lineRule="auto"/>
        <w:rPr>
          <w:rFonts w:ascii="CenturyStd-Light" w:hAnsi="CenturyStd-Light" w:cs="CenturyStd-Light"/>
          <w:color w:val="000000"/>
          <w:sz w:val="18"/>
          <w:szCs w:val="18"/>
        </w:rPr>
      </w:pPr>
      <w:r>
        <w:rPr>
          <w:rFonts w:ascii="CenturyStd-Light" w:hAnsi="CenturyStd-Light" w:cs="CenturyStd-Light"/>
          <w:color w:val="000000"/>
          <w:sz w:val="18"/>
          <w:szCs w:val="18"/>
        </w:rPr>
        <w:t xml:space="preserve">Les </w:t>
      </w:r>
      <w:r w:rsidR="00692D58">
        <w:rPr>
          <w:rFonts w:ascii="CenturyStd-Light" w:hAnsi="CenturyStd-Light" w:cs="CenturyStd-Light"/>
          <w:color w:val="000000"/>
          <w:sz w:val="18"/>
          <w:szCs w:val="18"/>
        </w:rPr>
        <w:t xml:space="preserve"> </w:t>
      </w:r>
      <w:r>
        <w:rPr>
          <w:rFonts w:ascii="CenturyStd-Light" w:hAnsi="CenturyStd-Light" w:cs="CenturyStd-Light"/>
          <w:color w:val="000000"/>
          <w:sz w:val="18"/>
          <w:szCs w:val="18"/>
        </w:rPr>
        <w:t>hydrauliciens français ont été</w:t>
      </w:r>
      <w:r w:rsidR="00982EB7">
        <w:rPr>
          <w:rFonts w:ascii="CenturyStd-Light" w:hAnsi="CenturyStd-Light" w:cs="CenturyStd-Light"/>
          <w:color w:val="000000"/>
          <w:sz w:val="18"/>
          <w:szCs w:val="18"/>
        </w:rPr>
        <w:t xml:space="preserve"> </w:t>
      </w:r>
      <w:r>
        <w:rPr>
          <w:rFonts w:ascii="CenturyStd-Light" w:hAnsi="CenturyStd-Light" w:cs="CenturyStd-Light"/>
          <w:color w:val="000000"/>
          <w:sz w:val="18"/>
          <w:szCs w:val="18"/>
        </w:rPr>
        <w:t>les pionniers des grandes cavernes</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industrielles ; pourtant, comme s’il y</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avait un tabou sur les grandes portées,</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ils se son</w:t>
      </w:r>
      <w:r w:rsidR="00150CE1">
        <w:rPr>
          <w:rFonts w:ascii="CenturyStd-Light" w:hAnsi="CenturyStd-Light" w:cs="CenturyStd-Light"/>
          <w:color w:val="000000"/>
          <w:sz w:val="18"/>
          <w:szCs w:val="18"/>
        </w:rPr>
        <w:t>t</w:t>
      </w:r>
      <w:r w:rsidR="00982EB7">
        <w:rPr>
          <w:rFonts w:ascii="CenturyStd-Light" w:hAnsi="CenturyStd-Light" w:cs="CenturyStd-Light"/>
          <w:color w:val="000000"/>
          <w:sz w:val="18"/>
          <w:szCs w:val="18"/>
        </w:rPr>
        <w:t xml:space="preserve"> </w:t>
      </w:r>
      <w:r>
        <w:rPr>
          <w:rFonts w:ascii="CenturyStd-Light" w:hAnsi="CenturyStd-Light" w:cs="CenturyStd-Light"/>
          <w:color w:val="000000"/>
          <w:sz w:val="18"/>
          <w:szCs w:val="18"/>
        </w:rPr>
        <w:t>longtemps montrés</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timorés dans la largeur des cavernes</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de leurs usines souterraines : l’une</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des premières a été placée au pied</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du barrage du Sautet (Isère) où</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l’étroitesse de la gorge ne pouvait</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accepter qu’une petite partie</w:t>
      </w:r>
      <w:r w:rsidR="00C10EB2">
        <w:rPr>
          <w:rFonts w:ascii="CenturyStd-Light" w:hAnsi="CenturyStd-Light" w:cs="CenturyStd-Light"/>
          <w:color w:val="000000"/>
          <w:sz w:val="18"/>
          <w:szCs w:val="18"/>
        </w:rPr>
        <w:t xml:space="preserve"> </w:t>
      </w:r>
      <w:r>
        <w:rPr>
          <w:rFonts w:ascii="CenturyStd-Light" w:hAnsi="CenturyStd-Light" w:cs="CenturyStd-Light"/>
          <w:color w:val="000000"/>
          <w:sz w:val="18"/>
          <w:szCs w:val="18"/>
        </w:rPr>
        <w:t>du bâtiment ; la portée de cette</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caverne, 36 m pour loger deux rangées</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de machines, ne devait plus</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jamais être atteinte ; la portée maximale</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 xml:space="preserve">est de 25 m à La </w:t>
      </w:r>
      <w:proofErr w:type="spellStart"/>
      <w:r>
        <w:rPr>
          <w:rFonts w:ascii="CenturyStd-Light" w:hAnsi="CenturyStd-Light" w:cs="CenturyStd-Light"/>
          <w:color w:val="000000"/>
          <w:sz w:val="18"/>
          <w:szCs w:val="18"/>
        </w:rPr>
        <w:t>Bathie</w:t>
      </w:r>
      <w:proofErr w:type="spellEnd"/>
      <w:r>
        <w:rPr>
          <w:rFonts w:ascii="CenturyStd-Light" w:hAnsi="CenturyStd-Light" w:cs="CenturyStd-Light"/>
          <w:color w:val="000000"/>
          <w:sz w:val="18"/>
          <w:szCs w:val="18"/>
        </w:rPr>
        <w:t>, Savoie,</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alors que l’Allemagne osera 33 m</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à Waldeck II, grâce à une section</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ovoïde et un soutènement par boulons</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et ancrages (cette caverne a été</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 xml:space="preserve">copiée très exactement à </w:t>
      </w:r>
      <w:proofErr w:type="spellStart"/>
      <w:r>
        <w:rPr>
          <w:rFonts w:ascii="CenturyStd-Light" w:hAnsi="CenturyStd-Light" w:cs="CenturyStd-Light"/>
          <w:color w:val="000000"/>
          <w:sz w:val="18"/>
          <w:szCs w:val="18"/>
        </w:rPr>
        <w:t>Imaichi</w:t>
      </w:r>
      <w:proofErr w:type="spellEnd"/>
      <w:r>
        <w:rPr>
          <w:rFonts w:ascii="CenturyStd-Light" w:hAnsi="CenturyStd-Light" w:cs="CenturyStd-Light"/>
          <w:color w:val="000000"/>
          <w:sz w:val="18"/>
          <w:szCs w:val="18"/>
        </w:rPr>
        <w:t xml:space="preserve"> au</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Japon quelques années plus tard et</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la Chine a fait mieux depuis).</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Par une expérience remarquable,</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la Norvège a balayé le tabou :</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après la petite centrale nucléaire</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de Halden, l’entreprise spécialiste</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de travaux souterrains (défensifs),</w:t>
      </w:r>
      <w:r w:rsidR="003659F7">
        <w:rPr>
          <w:rFonts w:ascii="CenturyStd-Light" w:hAnsi="CenturyStd-Light" w:cs="CenturyStd-Light"/>
          <w:color w:val="000000"/>
          <w:sz w:val="18"/>
          <w:szCs w:val="18"/>
        </w:rPr>
        <w:t xml:space="preserve"> </w:t>
      </w:r>
      <w:proofErr w:type="spellStart"/>
      <w:r>
        <w:rPr>
          <w:rFonts w:ascii="CenturyStd-Light" w:hAnsi="CenturyStd-Light" w:cs="CenturyStd-Light"/>
          <w:color w:val="000000"/>
          <w:sz w:val="18"/>
          <w:szCs w:val="18"/>
        </w:rPr>
        <w:t>Fortifikasjon</w:t>
      </w:r>
      <w:proofErr w:type="spellEnd"/>
      <w:r>
        <w:rPr>
          <w:rFonts w:ascii="CenturyStd-Light" w:hAnsi="CenturyStd-Light" w:cs="CenturyStd-Light"/>
          <w:color w:val="000000"/>
          <w:sz w:val="18"/>
          <w:szCs w:val="18"/>
        </w:rPr>
        <w:t>, a voulu étudier une</w:t>
      </w:r>
    </w:p>
    <w:p w14:paraId="54AEA5D1" w14:textId="77777777" w:rsidR="00692D58" w:rsidRPr="00C10EB2" w:rsidRDefault="006B39E5" w:rsidP="00692D58">
      <w:pPr>
        <w:autoSpaceDE w:val="0"/>
        <w:autoSpaceDN w:val="0"/>
        <w:adjustRightInd w:val="0"/>
        <w:spacing w:after="0" w:line="240" w:lineRule="auto"/>
        <w:rPr>
          <w:rFonts w:ascii="CenturyStd-Light" w:hAnsi="CenturyStd-Light" w:cs="CenturyStd-Light"/>
          <w:color w:val="000000"/>
          <w:sz w:val="18"/>
          <w:szCs w:val="18"/>
        </w:rPr>
      </w:pPr>
      <w:proofErr w:type="gramStart"/>
      <w:r>
        <w:rPr>
          <w:rFonts w:ascii="CenturyStd-Light" w:hAnsi="CenturyStd-Light" w:cs="CenturyStd-Light"/>
          <w:color w:val="000000"/>
          <w:sz w:val="18"/>
          <w:szCs w:val="18"/>
        </w:rPr>
        <w:t>centrale</w:t>
      </w:r>
      <w:proofErr w:type="gramEnd"/>
      <w:r>
        <w:rPr>
          <w:rFonts w:ascii="CenturyStd-Light" w:hAnsi="CenturyStd-Light" w:cs="CenturyStd-Light"/>
          <w:color w:val="000000"/>
          <w:sz w:val="18"/>
          <w:szCs w:val="18"/>
        </w:rPr>
        <w:t xml:space="preserve"> de grande puissance ; à</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titre de démonstration elle a proposé</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un projet de patinoire souterraine</w:t>
      </w:r>
      <w:r w:rsidR="003659F7">
        <w:rPr>
          <w:rFonts w:ascii="CenturyStd-Light" w:hAnsi="CenturyStd-Light" w:cs="CenturyStd-Light"/>
          <w:color w:val="000000"/>
          <w:sz w:val="18"/>
          <w:szCs w:val="18"/>
        </w:rPr>
        <w:t xml:space="preserve"> </w:t>
      </w:r>
      <w:r>
        <w:rPr>
          <w:rFonts w:ascii="CenturyStd-Light" w:hAnsi="CenturyStd-Light" w:cs="CenturyStd-Light"/>
          <w:color w:val="000000"/>
          <w:sz w:val="18"/>
          <w:szCs w:val="18"/>
        </w:rPr>
        <w:t>massif granitique proche d’Oslo</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(portée jugée convenable pour un</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réacteur de l’ordre de 1 000 MW).</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Comme le pays a abandonné l’énergie</w:t>
      </w:r>
      <w:r w:rsidR="00C10EB2">
        <w:rPr>
          <w:rFonts w:ascii="CenturyStd-Light" w:hAnsi="CenturyStd-Light" w:cs="CenturyStd-Light"/>
          <w:color w:val="000000"/>
          <w:sz w:val="18"/>
          <w:szCs w:val="18"/>
        </w:rPr>
        <w:t xml:space="preserve"> </w:t>
      </w:r>
      <w:r>
        <w:rPr>
          <w:rFonts w:ascii="CenturyStd-Light" w:hAnsi="CenturyStd-Light" w:cs="CenturyStd-Light"/>
          <w:color w:val="000000"/>
          <w:sz w:val="18"/>
          <w:szCs w:val="18"/>
        </w:rPr>
        <w:t>nucléaire, ce projet est resté</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lettre morte. Vingt ans après, l’entreprise</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a pu le proposer pour les</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 xml:space="preserve">Jeux olympiques d’hiver de </w:t>
      </w:r>
      <w:proofErr w:type="spellStart"/>
      <w:r>
        <w:rPr>
          <w:rFonts w:ascii="CenturyStd-Light" w:hAnsi="CenturyStd-Light" w:cs="CenturyStd-Light"/>
          <w:color w:val="000000"/>
          <w:sz w:val="18"/>
          <w:szCs w:val="18"/>
        </w:rPr>
        <w:t>Gjøvik</w:t>
      </w:r>
      <w:proofErr w:type="spellEnd"/>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994. La caverne a été acceptée</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et exécutée avec succès – en</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huit mois, pour un coût d’environ</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1 000 couronnes le mètre cube (y</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compris les accès et aménagements</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intérieurs).</w:t>
      </w:r>
    </w:p>
    <w:p w14:paraId="4B1C344B" w14:textId="77777777" w:rsidR="003659F7" w:rsidRPr="00692D58" w:rsidRDefault="003659F7" w:rsidP="00692D58">
      <w:pPr>
        <w:autoSpaceDE w:val="0"/>
        <w:autoSpaceDN w:val="0"/>
        <w:adjustRightInd w:val="0"/>
        <w:spacing w:after="0" w:line="240" w:lineRule="auto"/>
        <w:rPr>
          <w:rFonts w:ascii="CenturyStd-Light" w:hAnsi="CenturyStd-Light" w:cs="CenturyStd-Light"/>
          <w:color w:val="000000"/>
          <w:sz w:val="18"/>
          <w:szCs w:val="18"/>
        </w:rPr>
      </w:pPr>
    </w:p>
    <w:p w14:paraId="140EF445" w14:textId="77777777" w:rsidR="00692D58" w:rsidRDefault="00692D58" w:rsidP="00692D58">
      <w:pPr>
        <w:autoSpaceDE w:val="0"/>
        <w:autoSpaceDN w:val="0"/>
        <w:adjustRightInd w:val="0"/>
        <w:spacing w:after="0" w:line="240" w:lineRule="auto"/>
        <w:jc w:val="center"/>
        <w:rPr>
          <w:rFonts w:ascii="CenturyStd-Light" w:hAnsi="CenturyStd-Light" w:cs="CenturyStd-Light"/>
          <w:color w:val="000000"/>
          <w:sz w:val="14"/>
          <w:szCs w:val="14"/>
        </w:rPr>
      </w:pPr>
      <w:r>
        <w:rPr>
          <w:rFonts w:ascii="CenturyStd-Light" w:hAnsi="CenturyStd-Light" w:cs="CenturyStd-Light"/>
          <w:noProof/>
          <w:color w:val="000000"/>
          <w:sz w:val="14"/>
          <w:szCs w:val="14"/>
          <w:lang w:eastAsia="fr-FR"/>
        </w:rPr>
        <w:lastRenderedPageBreak/>
        <w:drawing>
          <wp:inline distT="0" distB="0" distL="0" distR="0" wp14:anchorId="1F821DE5" wp14:editId="5DC1ADF6">
            <wp:extent cx="4691174" cy="2958756"/>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4695469" cy="2961465"/>
                    </a:xfrm>
                    <a:prstGeom prst="rect">
                      <a:avLst/>
                    </a:prstGeom>
                    <a:noFill/>
                    <a:ln w="9525">
                      <a:noFill/>
                      <a:miter lim="800000"/>
                      <a:headEnd/>
                      <a:tailEnd/>
                    </a:ln>
                  </pic:spPr>
                </pic:pic>
              </a:graphicData>
            </a:graphic>
          </wp:inline>
        </w:drawing>
      </w:r>
    </w:p>
    <w:p w14:paraId="1CBDB86F" w14:textId="77777777" w:rsidR="003659F7" w:rsidRDefault="003659F7" w:rsidP="00692D58">
      <w:pPr>
        <w:autoSpaceDE w:val="0"/>
        <w:autoSpaceDN w:val="0"/>
        <w:adjustRightInd w:val="0"/>
        <w:spacing w:after="0" w:line="240" w:lineRule="auto"/>
        <w:jc w:val="center"/>
        <w:rPr>
          <w:rFonts w:ascii="CenturyStd-Light" w:hAnsi="CenturyStd-Light" w:cs="CenturyStd-Light"/>
          <w:color w:val="000000"/>
          <w:sz w:val="14"/>
          <w:szCs w:val="14"/>
        </w:rPr>
      </w:pPr>
    </w:p>
    <w:p w14:paraId="35594B19" w14:textId="77777777" w:rsidR="00692D58" w:rsidRDefault="00692D58" w:rsidP="00692D58">
      <w:pPr>
        <w:autoSpaceDE w:val="0"/>
        <w:autoSpaceDN w:val="0"/>
        <w:adjustRightInd w:val="0"/>
        <w:spacing w:after="0" w:line="240" w:lineRule="auto"/>
        <w:jc w:val="center"/>
        <w:rPr>
          <w:rFonts w:ascii="CenturyStd-Light" w:hAnsi="CenturyStd-Light" w:cs="CenturyStd-Light"/>
          <w:color w:val="000000"/>
          <w:sz w:val="14"/>
          <w:szCs w:val="14"/>
        </w:rPr>
      </w:pPr>
      <w:r>
        <w:rPr>
          <w:rFonts w:ascii="CenturyStd-Light" w:hAnsi="CenturyStd-Light" w:cs="CenturyStd-Light"/>
          <w:color w:val="000000"/>
          <w:sz w:val="14"/>
          <w:szCs w:val="14"/>
        </w:rPr>
        <w:t xml:space="preserve">Figure 3 : creusement de la caverne de la patinoire souterraine à </w:t>
      </w:r>
      <w:proofErr w:type="spellStart"/>
      <w:r>
        <w:rPr>
          <w:rFonts w:ascii="CenturyStd-Light" w:hAnsi="CenturyStd-Light" w:cs="CenturyStd-Light"/>
          <w:color w:val="000000"/>
          <w:sz w:val="14"/>
          <w:szCs w:val="14"/>
        </w:rPr>
        <w:t>Gjøvik</w:t>
      </w:r>
      <w:proofErr w:type="spellEnd"/>
      <w:r>
        <w:rPr>
          <w:rFonts w:ascii="CenturyStd-Light" w:hAnsi="CenturyStd-Light" w:cs="CenturyStd-Light"/>
          <w:color w:val="000000"/>
          <w:sz w:val="14"/>
          <w:szCs w:val="14"/>
        </w:rPr>
        <w:t>, Norvège, portée 60 m sans aucun support intermédiaire.</w:t>
      </w:r>
    </w:p>
    <w:p w14:paraId="3DA2D094" w14:textId="77777777" w:rsidR="00692D58" w:rsidRDefault="00692D58" w:rsidP="006B39E5">
      <w:pPr>
        <w:autoSpaceDE w:val="0"/>
        <w:autoSpaceDN w:val="0"/>
        <w:adjustRightInd w:val="0"/>
        <w:spacing w:after="0" w:line="240" w:lineRule="auto"/>
        <w:rPr>
          <w:rFonts w:ascii="CenturyStd-LightItalic" w:hAnsi="CenturyStd-LightItalic" w:cs="CenturyStd-LightItalic"/>
          <w:i/>
          <w:iCs/>
          <w:color w:val="000000"/>
          <w:sz w:val="18"/>
          <w:szCs w:val="18"/>
        </w:rPr>
      </w:pPr>
    </w:p>
    <w:p w14:paraId="2A289715" w14:textId="77777777" w:rsidR="006B39E5" w:rsidRDefault="006B39E5" w:rsidP="006B39E5">
      <w:pPr>
        <w:autoSpaceDE w:val="0"/>
        <w:autoSpaceDN w:val="0"/>
        <w:adjustRightInd w:val="0"/>
        <w:spacing w:after="0" w:line="240" w:lineRule="auto"/>
        <w:rPr>
          <w:rFonts w:ascii="CenturyStd-Light" w:hAnsi="CenturyStd-Light" w:cs="CenturyStd-Light"/>
          <w:color w:val="000000"/>
          <w:sz w:val="18"/>
          <w:szCs w:val="18"/>
        </w:rPr>
      </w:pPr>
      <w:r>
        <w:rPr>
          <w:rFonts w:ascii="CenturyStd-LightItalic" w:hAnsi="CenturyStd-LightItalic" w:cs="CenturyStd-LightItalic"/>
          <w:i/>
          <w:iCs/>
          <w:color w:val="000000"/>
          <w:sz w:val="18"/>
          <w:szCs w:val="18"/>
        </w:rPr>
        <w:t xml:space="preserve">Wikipédia </w:t>
      </w:r>
      <w:r>
        <w:rPr>
          <w:rFonts w:ascii="CenturyStd-Light" w:hAnsi="CenturyStd-Light" w:cs="CenturyStd-Light"/>
          <w:color w:val="000000"/>
          <w:sz w:val="18"/>
          <w:szCs w:val="18"/>
        </w:rPr>
        <w:t>a depuis « oublié » cette</w:t>
      </w:r>
      <w:r w:rsidR="00692D58">
        <w:rPr>
          <w:rFonts w:ascii="CenturyStd-Light" w:hAnsi="CenturyStd-Light" w:cs="CenturyStd-Light"/>
          <w:color w:val="000000"/>
          <w:sz w:val="18"/>
          <w:szCs w:val="18"/>
        </w:rPr>
        <w:t xml:space="preserve"> </w:t>
      </w:r>
      <w:r>
        <w:rPr>
          <w:rFonts w:ascii="CenturyStd-Light" w:hAnsi="CenturyStd-Light" w:cs="CenturyStd-Light"/>
          <w:color w:val="000000"/>
          <w:sz w:val="18"/>
          <w:szCs w:val="18"/>
        </w:rPr>
        <w:t>filiation, reniant ainsi l’allusion à un</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projet antérieur nucléaire ; l’auteur</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la tient pourtant du concepteur, l’ingénieur</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 xml:space="preserve">Jan </w:t>
      </w:r>
      <w:proofErr w:type="spellStart"/>
      <w:r>
        <w:rPr>
          <w:rFonts w:ascii="CenturyStd-Light" w:hAnsi="CenturyStd-Light" w:cs="CenturyStd-Light"/>
          <w:color w:val="000000"/>
          <w:sz w:val="18"/>
          <w:szCs w:val="18"/>
        </w:rPr>
        <w:t>Rygh</w:t>
      </w:r>
      <w:proofErr w:type="spellEnd"/>
      <w:r>
        <w:rPr>
          <w:rFonts w:ascii="CenturyStd-Light" w:hAnsi="CenturyStd-Light" w:cs="CenturyStd-Light"/>
          <w:color w:val="000000"/>
          <w:sz w:val="18"/>
          <w:szCs w:val="18"/>
        </w:rPr>
        <w:t>. Assurément la</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Norvège avait une longue expérience</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en ouvrages souterrains, des</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tunnels aux cavernes, des centrales</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hydroélectriques aux salles de sport,</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celles-ci utilisables aussi comme</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abris de défense passive.</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Le problème a été réactivé par les</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astrophysiciens, qui souhaitent piéger</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des neutrinos à l’abri des rayons</w:t>
      </w:r>
      <w:r w:rsidR="00C10EB2">
        <w:rPr>
          <w:rFonts w:ascii="CenturyStd-Light" w:hAnsi="CenturyStd-Light" w:cs="CenturyStd-Light"/>
          <w:color w:val="000000"/>
          <w:sz w:val="18"/>
          <w:szCs w:val="18"/>
        </w:rPr>
        <w:t xml:space="preserve"> </w:t>
      </w:r>
      <w:r>
        <w:rPr>
          <w:rFonts w:ascii="CenturyStd-Light" w:hAnsi="CenturyStd-Light" w:cs="CenturyStd-Light"/>
          <w:color w:val="000000"/>
          <w:sz w:val="18"/>
          <w:szCs w:val="18"/>
        </w:rPr>
        <w:t>cosmiques, dans des cavernes de</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grand volume sous grande couverture</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rocheuse (Duffaut, 2006). Une</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caverne de 69 000 m</w:t>
      </w:r>
      <w:r>
        <w:rPr>
          <w:rFonts w:ascii="CenturyStd-Light" w:hAnsi="CenturyStd-Light" w:cs="CenturyStd-Light"/>
          <w:color w:val="000000"/>
          <w:sz w:val="10"/>
          <w:szCs w:val="10"/>
        </w:rPr>
        <w:t xml:space="preserve">3 </w:t>
      </w:r>
      <w:r>
        <w:rPr>
          <w:rFonts w:ascii="CenturyStd-Light" w:hAnsi="CenturyStd-Light" w:cs="CenturyStd-Light"/>
          <w:color w:val="000000"/>
          <w:sz w:val="18"/>
          <w:szCs w:val="18"/>
        </w:rPr>
        <w:t>en cylindre</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vertical a été mise en service au</w:t>
      </w:r>
      <w:r w:rsidR="00B47713">
        <w:rPr>
          <w:rFonts w:ascii="CenturyStd-Light" w:hAnsi="CenturyStd-Light" w:cs="CenturyStd-Light"/>
          <w:color w:val="000000"/>
          <w:sz w:val="18"/>
          <w:szCs w:val="18"/>
        </w:rPr>
        <w:t xml:space="preserve"> </w:t>
      </w:r>
      <w:r w:rsidRPr="00B47713">
        <w:rPr>
          <w:rFonts w:ascii="CenturyStd-Light" w:hAnsi="CenturyStd-Light" w:cs="CenturyStd-Light"/>
          <w:color w:val="000000"/>
          <w:sz w:val="18"/>
          <w:szCs w:val="18"/>
        </w:rPr>
        <w:t>Japon à près de 1 000 m de profondeur</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 xml:space="preserve">au sein de la mine de </w:t>
      </w:r>
      <w:proofErr w:type="spellStart"/>
      <w:r>
        <w:rPr>
          <w:rFonts w:ascii="CenturyStd-Light" w:hAnsi="CenturyStd-Light" w:cs="CenturyStd-Light"/>
          <w:color w:val="000000"/>
          <w:sz w:val="18"/>
          <w:szCs w:val="18"/>
        </w:rPr>
        <w:t>Kamioka</w:t>
      </w:r>
      <w:proofErr w:type="spellEnd"/>
      <w:r>
        <w:rPr>
          <w:rFonts w:ascii="CenturyStd-Light" w:hAnsi="CenturyStd-Light" w:cs="CenturyStd-Light"/>
          <w:color w:val="000000"/>
          <w:sz w:val="18"/>
          <w:szCs w:val="18"/>
        </w:rPr>
        <w:t>,</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et des études s’y poursuivent pour</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des volumes plus importants.</w:t>
      </w:r>
    </w:p>
    <w:p w14:paraId="7238C7E2" w14:textId="77777777" w:rsidR="00692D58" w:rsidRDefault="00692D58" w:rsidP="006B39E5">
      <w:pPr>
        <w:autoSpaceDE w:val="0"/>
        <w:autoSpaceDN w:val="0"/>
        <w:adjustRightInd w:val="0"/>
        <w:spacing w:after="0" w:line="240" w:lineRule="auto"/>
        <w:rPr>
          <w:rFonts w:ascii="OpenSans-Extrabold" w:hAnsi="OpenSans-Extrabold" w:cs="OpenSans-Extrabold"/>
          <w:b/>
          <w:sz w:val="18"/>
          <w:szCs w:val="18"/>
        </w:rPr>
      </w:pPr>
    </w:p>
    <w:p w14:paraId="07591F58" w14:textId="77777777" w:rsidR="00B47713" w:rsidRDefault="00B47713" w:rsidP="006B39E5">
      <w:pPr>
        <w:autoSpaceDE w:val="0"/>
        <w:autoSpaceDN w:val="0"/>
        <w:adjustRightInd w:val="0"/>
        <w:spacing w:after="0" w:line="240" w:lineRule="auto"/>
        <w:rPr>
          <w:rFonts w:ascii="OpenSans-Extrabold" w:hAnsi="OpenSans-Extrabold" w:cs="OpenSans-Extrabold"/>
          <w:b/>
          <w:sz w:val="18"/>
          <w:szCs w:val="18"/>
        </w:rPr>
      </w:pPr>
    </w:p>
    <w:p w14:paraId="0114185D" w14:textId="77777777" w:rsidR="00B47713" w:rsidRDefault="00B47713" w:rsidP="006B39E5">
      <w:pPr>
        <w:autoSpaceDE w:val="0"/>
        <w:autoSpaceDN w:val="0"/>
        <w:adjustRightInd w:val="0"/>
        <w:spacing w:after="0" w:line="240" w:lineRule="auto"/>
        <w:rPr>
          <w:rFonts w:ascii="OpenSans-Extrabold" w:hAnsi="OpenSans-Extrabold" w:cs="OpenSans-Extrabold"/>
          <w:b/>
          <w:sz w:val="18"/>
          <w:szCs w:val="18"/>
        </w:rPr>
      </w:pPr>
    </w:p>
    <w:p w14:paraId="7AF74D65" w14:textId="77777777" w:rsidR="006B39E5" w:rsidRPr="00692D58" w:rsidRDefault="006B39E5" w:rsidP="006B39E5">
      <w:pPr>
        <w:autoSpaceDE w:val="0"/>
        <w:autoSpaceDN w:val="0"/>
        <w:adjustRightInd w:val="0"/>
        <w:spacing w:after="0" w:line="240" w:lineRule="auto"/>
        <w:rPr>
          <w:rFonts w:ascii="OpenSans-Extrabold" w:hAnsi="OpenSans-Extrabold" w:cs="OpenSans-Extrabold"/>
          <w:b/>
          <w:sz w:val="18"/>
          <w:szCs w:val="18"/>
        </w:rPr>
      </w:pPr>
      <w:r w:rsidRPr="00692D58">
        <w:rPr>
          <w:rFonts w:ascii="OpenSans-Extrabold" w:hAnsi="OpenSans-Extrabold" w:cs="OpenSans-Extrabold"/>
          <w:b/>
          <w:sz w:val="18"/>
          <w:szCs w:val="18"/>
        </w:rPr>
        <w:t>PROJETS MODERNES</w:t>
      </w:r>
    </w:p>
    <w:p w14:paraId="7C6122EF" w14:textId="77777777" w:rsidR="00692D58" w:rsidRDefault="00692D58" w:rsidP="006B39E5">
      <w:pPr>
        <w:autoSpaceDE w:val="0"/>
        <w:autoSpaceDN w:val="0"/>
        <w:adjustRightInd w:val="0"/>
        <w:spacing w:after="0" w:line="240" w:lineRule="auto"/>
        <w:rPr>
          <w:rFonts w:ascii="OpenSans-Extrabold" w:hAnsi="OpenSans-Extrabold" w:cs="OpenSans-Extrabold"/>
          <w:color w:val="000000"/>
          <w:sz w:val="17"/>
          <w:szCs w:val="17"/>
        </w:rPr>
      </w:pPr>
    </w:p>
    <w:p w14:paraId="35863152" w14:textId="77777777" w:rsidR="00982EB7" w:rsidRDefault="006B39E5" w:rsidP="006B39E5">
      <w:pPr>
        <w:autoSpaceDE w:val="0"/>
        <w:autoSpaceDN w:val="0"/>
        <w:adjustRightInd w:val="0"/>
        <w:spacing w:after="0" w:line="240" w:lineRule="auto"/>
        <w:rPr>
          <w:rFonts w:ascii="OpenSans-Extrabold" w:hAnsi="OpenSans-Extrabold" w:cs="OpenSans-Extrabold"/>
          <w:color w:val="000000"/>
          <w:sz w:val="17"/>
          <w:szCs w:val="17"/>
        </w:rPr>
      </w:pPr>
      <w:r>
        <w:rPr>
          <w:rFonts w:ascii="OpenSans-Extrabold" w:hAnsi="OpenSans-Extrabold" w:cs="OpenSans-Extrabold"/>
          <w:color w:val="000000"/>
          <w:sz w:val="17"/>
          <w:szCs w:val="17"/>
        </w:rPr>
        <w:t>Le parc nucléaire souterrain</w:t>
      </w:r>
      <w:r w:rsidR="00B47713">
        <w:rPr>
          <w:rFonts w:ascii="OpenSans-Extrabold" w:hAnsi="OpenSans-Extrabold" w:cs="OpenSans-Extrabold"/>
          <w:color w:val="000000"/>
          <w:sz w:val="17"/>
          <w:szCs w:val="17"/>
        </w:rPr>
        <w:t xml:space="preserve"> </w:t>
      </w:r>
      <w:r>
        <w:rPr>
          <w:rFonts w:ascii="OpenSans-Extrabold" w:hAnsi="OpenSans-Extrabold" w:cs="OpenSans-Extrabold"/>
          <w:color w:val="000000"/>
          <w:sz w:val="17"/>
          <w:szCs w:val="17"/>
        </w:rPr>
        <w:t xml:space="preserve">associé au projet </w:t>
      </w:r>
      <w:proofErr w:type="spellStart"/>
      <w:r>
        <w:rPr>
          <w:rFonts w:ascii="OpenSans-Extrabold" w:hAnsi="OpenSans-Extrabold" w:cs="OpenSans-Extrabold"/>
          <w:color w:val="000000"/>
          <w:sz w:val="17"/>
          <w:szCs w:val="17"/>
        </w:rPr>
        <w:t>Geogrid</w:t>
      </w:r>
      <w:proofErr w:type="spellEnd"/>
      <w:r w:rsidR="00C10EB2">
        <w:rPr>
          <w:rFonts w:ascii="OpenSans-Extrabold" w:hAnsi="OpenSans-Extrabold" w:cs="OpenSans-Extrabold"/>
          <w:color w:val="000000"/>
          <w:sz w:val="17"/>
          <w:szCs w:val="17"/>
        </w:rPr>
        <w:t> :</w:t>
      </w:r>
    </w:p>
    <w:p w14:paraId="781EF26C" w14:textId="77777777" w:rsidR="006B39E5" w:rsidRDefault="006B39E5" w:rsidP="006B39E5">
      <w:pPr>
        <w:autoSpaceDE w:val="0"/>
        <w:autoSpaceDN w:val="0"/>
        <w:adjustRightInd w:val="0"/>
        <w:spacing w:after="0" w:line="240" w:lineRule="auto"/>
        <w:rPr>
          <w:rFonts w:ascii="CenturyStd-Light" w:hAnsi="CenturyStd-Light" w:cs="CenturyStd-Light"/>
          <w:color w:val="000000"/>
          <w:sz w:val="18"/>
          <w:szCs w:val="18"/>
        </w:rPr>
      </w:pPr>
      <w:r>
        <w:rPr>
          <w:rFonts w:ascii="CenturyStd-Light" w:hAnsi="CenturyStd-Light" w:cs="CenturyStd-Light"/>
          <w:color w:val="000000"/>
          <w:sz w:val="18"/>
          <w:szCs w:val="18"/>
        </w:rPr>
        <w:t xml:space="preserve">Sur le modèle du </w:t>
      </w:r>
      <w:proofErr w:type="spellStart"/>
      <w:r>
        <w:rPr>
          <w:rFonts w:ascii="CenturyStd-Light" w:hAnsi="CenturyStd-Light" w:cs="CenturyStd-Light"/>
          <w:color w:val="000000"/>
          <w:sz w:val="18"/>
          <w:szCs w:val="18"/>
        </w:rPr>
        <w:t>Wipp</w:t>
      </w:r>
      <w:proofErr w:type="spellEnd"/>
      <w:r>
        <w:rPr>
          <w:rFonts w:ascii="CenturyStd-Light" w:hAnsi="CenturyStd-Light" w:cs="CenturyStd-Light"/>
          <w:color w:val="000000"/>
          <w:sz w:val="18"/>
          <w:szCs w:val="18"/>
        </w:rPr>
        <w:t xml:space="preserve"> (</w:t>
      </w:r>
      <w:proofErr w:type="spellStart"/>
      <w:r>
        <w:rPr>
          <w:rFonts w:ascii="CenturyStd-LightItalic" w:hAnsi="CenturyStd-LightItalic" w:cs="CenturyStd-LightItalic"/>
          <w:i/>
          <w:iCs/>
          <w:color w:val="000000"/>
          <w:sz w:val="18"/>
          <w:szCs w:val="18"/>
        </w:rPr>
        <w:t>Waste</w:t>
      </w:r>
      <w:proofErr w:type="spellEnd"/>
      <w:r w:rsidR="00B47713">
        <w:rPr>
          <w:rFonts w:ascii="CenturyStd-LightItalic" w:hAnsi="CenturyStd-LightItalic" w:cs="CenturyStd-LightItalic"/>
          <w:i/>
          <w:iCs/>
          <w:color w:val="000000"/>
          <w:sz w:val="18"/>
          <w:szCs w:val="18"/>
        </w:rPr>
        <w:t xml:space="preserve"> </w:t>
      </w:r>
      <w:r>
        <w:rPr>
          <w:rFonts w:ascii="CenturyStd-LightItalic" w:hAnsi="CenturyStd-LightItalic" w:cs="CenturyStd-LightItalic"/>
          <w:i/>
          <w:iCs/>
          <w:color w:val="000000"/>
          <w:sz w:val="18"/>
          <w:szCs w:val="18"/>
        </w:rPr>
        <w:t>Isolation Pilot Plant</w:t>
      </w:r>
      <w:r>
        <w:rPr>
          <w:rFonts w:ascii="CenturyStd-Light" w:hAnsi="CenturyStd-Light" w:cs="CenturyStd-Light"/>
          <w:color w:val="000000"/>
          <w:sz w:val="18"/>
          <w:szCs w:val="18"/>
        </w:rPr>
        <w:t>) qui abrite</w:t>
      </w:r>
      <w:r w:rsidR="00C10EB2">
        <w:rPr>
          <w:rFonts w:ascii="CenturyStd-Light" w:hAnsi="CenturyStd-Light" w:cs="CenturyStd-Light"/>
          <w:color w:val="000000"/>
          <w:sz w:val="18"/>
          <w:szCs w:val="18"/>
        </w:rPr>
        <w:t xml:space="preserve"> </w:t>
      </w:r>
      <w:r>
        <w:rPr>
          <w:rFonts w:ascii="CenturyStd-Light" w:hAnsi="CenturyStd-Light" w:cs="CenturyStd-Light"/>
          <w:color w:val="000000"/>
          <w:sz w:val="18"/>
          <w:szCs w:val="18"/>
        </w:rPr>
        <w:t>des déchets nucléaires au sein d’une</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épaisse formation de sel gemme</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du Nouveau Mexique, et en liaison</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avec le projet d’un super réseau de</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distribution d’électricité, Myers et</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 xml:space="preserve">Elkins (2004) ont proposé un </w:t>
      </w:r>
      <w:r>
        <w:rPr>
          <w:rFonts w:ascii="CenturyStd-LightItalic" w:hAnsi="CenturyStd-LightItalic" w:cs="CenturyStd-LightItalic"/>
          <w:i/>
          <w:iCs/>
          <w:color w:val="000000"/>
          <w:sz w:val="18"/>
          <w:szCs w:val="18"/>
        </w:rPr>
        <w:t>« parc</w:t>
      </w:r>
      <w:r w:rsidR="00B47713">
        <w:rPr>
          <w:rFonts w:ascii="CenturyStd-LightItalic" w:hAnsi="CenturyStd-LightItalic" w:cs="CenturyStd-LightItalic"/>
          <w:i/>
          <w:iCs/>
          <w:color w:val="000000"/>
          <w:sz w:val="18"/>
          <w:szCs w:val="18"/>
        </w:rPr>
        <w:t xml:space="preserve"> </w:t>
      </w:r>
      <w:r>
        <w:rPr>
          <w:rFonts w:ascii="CenturyStd-LightItalic" w:hAnsi="CenturyStd-LightItalic" w:cs="CenturyStd-LightItalic"/>
          <w:i/>
          <w:iCs/>
          <w:color w:val="000000"/>
          <w:sz w:val="18"/>
          <w:szCs w:val="18"/>
        </w:rPr>
        <w:t xml:space="preserve">nucléaire souterrain » </w:t>
      </w:r>
      <w:r>
        <w:rPr>
          <w:rFonts w:ascii="CenturyStd-Light" w:hAnsi="CenturyStd-Light" w:cs="CenturyStd-Light"/>
          <w:color w:val="000000"/>
          <w:sz w:val="18"/>
          <w:szCs w:val="18"/>
        </w:rPr>
        <w:t>qui abriterait</w:t>
      </w:r>
      <w:r w:rsidR="00C10EB2">
        <w:rPr>
          <w:rFonts w:ascii="CenturyStd-Light" w:hAnsi="CenturyStd-Light" w:cs="CenturyStd-Light"/>
          <w:color w:val="000000"/>
          <w:sz w:val="18"/>
          <w:szCs w:val="18"/>
        </w:rPr>
        <w:t xml:space="preserve"> </w:t>
      </w:r>
      <w:r>
        <w:rPr>
          <w:rFonts w:ascii="CenturyStd-Light" w:hAnsi="CenturyStd-Light" w:cs="CenturyStd-Light"/>
          <w:color w:val="000000"/>
          <w:sz w:val="18"/>
          <w:szCs w:val="18"/>
        </w:rPr>
        <w:t>côte à côte des réacteurs et le</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stockage de leurs déchets, éventuellement</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 xml:space="preserve">des </w:t>
      </w:r>
      <w:r w:rsidR="00B47713">
        <w:rPr>
          <w:rFonts w:ascii="CenturyStd-Light" w:hAnsi="CenturyStd-Light" w:cs="CenturyStd-Light"/>
          <w:color w:val="000000"/>
          <w:sz w:val="18"/>
          <w:szCs w:val="18"/>
        </w:rPr>
        <w:t xml:space="preserve"> note la concentration locale de la </w:t>
      </w:r>
      <w:r>
        <w:rPr>
          <w:rFonts w:ascii="CenturyStd-Light" w:hAnsi="CenturyStd-Light" w:cs="CenturyStd-Light"/>
          <w:color w:val="000000"/>
          <w:sz w:val="18"/>
          <w:szCs w:val="18"/>
        </w:rPr>
        <w:t>usines de traitement.</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 xml:space="preserve">Grâce au </w:t>
      </w:r>
      <w:proofErr w:type="spellStart"/>
      <w:r>
        <w:rPr>
          <w:rFonts w:ascii="CenturyStd-Light" w:hAnsi="CenturyStd-Light" w:cs="CenturyStd-Light"/>
          <w:color w:val="000000"/>
          <w:sz w:val="18"/>
          <w:szCs w:val="18"/>
        </w:rPr>
        <w:t>Wipp</w:t>
      </w:r>
      <w:proofErr w:type="spellEnd"/>
      <w:r>
        <w:rPr>
          <w:rFonts w:ascii="CenturyStd-Light" w:hAnsi="CenturyStd-Light" w:cs="CenturyStd-Light"/>
          <w:color w:val="000000"/>
          <w:sz w:val="18"/>
          <w:szCs w:val="18"/>
        </w:rPr>
        <w:t>, l’exécution</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 xml:space="preserve">est classique, à un coût </w:t>
      </w:r>
      <w:proofErr w:type="spellStart"/>
      <w:r>
        <w:rPr>
          <w:rFonts w:ascii="CenturyStd-Light" w:hAnsi="CenturyStd-Light" w:cs="CenturyStd-Light"/>
          <w:color w:val="000000"/>
          <w:sz w:val="18"/>
          <w:szCs w:val="18"/>
        </w:rPr>
        <w:t>modeste.Parmi</w:t>
      </w:r>
      <w:proofErr w:type="spellEnd"/>
      <w:r>
        <w:rPr>
          <w:rFonts w:ascii="CenturyStd-Light" w:hAnsi="CenturyStd-Light" w:cs="CenturyStd-Light"/>
          <w:color w:val="000000"/>
          <w:sz w:val="18"/>
          <w:szCs w:val="18"/>
        </w:rPr>
        <w:t xml:space="preserve"> les avantages du projet, on</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production et l’absence de transit</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des déchets en surface.</w:t>
      </w:r>
      <w:r w:rsidR="00B47713">
        <w:rPr>
          <w:rFonts w:ascii="CenturyStd-Light" w:hAnsi="CenturyStd-Light" w:cs="CenturyStd-Light"/>
          <w:color w:val="000000"/>
          <w:sz w:val="18"/>
          <w:szCs w:val="18"/>
        </w:rPr>
        <w:t xml:space="preserve"> </w:t>
      </w:r>
      <w:r>
        <w:rPr>
          <w:rFonts w:ascii="OpenSans-Extrabold" w:hAnsi="OpenSans-Extrabold" w:cs="OpenSans-Extrabold"/>
          <w:color w:val="000000"/>
          <w:sz w:val="17"/>
          <w:szCs w:val="17"/>
        </w:rPr>
        <w:t>Le recours aux réacteurs</w:t>
      </w:r>
      <w:r w:rsidR="00B47713">
        <w:rPr>
          <w:rFonts w:ascii="OpenSans-Extrabold" w:hAnsi="OpenSans-Extrabold" w:cs="OpenSans-Extrabold"/>
          <w:color w:val="000000"/>
          <w:sz w:val="17"/>
          <w:szCs w:val="17"/>
        </w:rPr>
        <w:t xml:space="preserve"> </w:t>
      </w:r>
      <w:r>
        <w:rPr>
          <w:rFonts w:ascii="OpenSans-Extrabold" w:hAnsi="OpenSans-Extrabold" w:cs="OpenSans-Extrabold"/>
          <w:color w:val="000000"/>
          <w:sz w:val="17"/>
          <w:szCs w:val="17"/>
        </w:rPr>
        <w:t xml:space="preserve">modulaires </w:t>
      </w:r>
      <w:proofErr w:type="spellStart"/>
      <w:r>
        <w:rPr>
          <w:rFonts w:ascii="OpenSans-Extrabold" w:hAnsi="OpenSans-Extrabold" w:cs="OpenSans-Extrabold"/>
          <w:color w:val="000000"/>
          <w:sz w:val="17"/>
          <w:szCs w:val="17"/>
        </w:rPr>
        <w:t>SMR</w:t>
      </w:r>
      <w:r>
        <w:rPr>
          <w:rFonts w:ascii="Sosa-Regular" w:hAnsi="Sosa-Regular" w:cs="Sosa-Regular"/>
          <w:color w:val="FF3B45"/>
          <w:sz w:val="12"/>
          <w:szCs w:val="12"/>
        </w:rPr>
        <w:t>j</w:t>
      </w:r>
      <w:proofErr w:type="spellEnd"/>
      <w:r w:rsidR="00B47713">
        <w:rPr>
          <w:rFonts w:ascii="Sosa-Regular" w:hAnsi="Sosa-Regular" w:cs="Sosa-Regular"/>
          <w:color w:val="FF3B45"/>
          <w:sz w:val="12"/>
          <w:szCs w:val="12"/>
        </w:rPr>
        <w:t xml:space="preserve"> </w:t>
      </w:r>
      <w:r>
        <w:rPr>
          <w:rFonts w:ascii="CenturyStd-Light" w:hAnsi="CenturyStd-Light" w:cs="CenturyStd-Light"/>
          <w:color w:val="000000"/>
          <w:sz w:val="18"/>
          <w:szCs w:val="18"/>
        </w:rPr>
        <w:t xml:space="preserve">Depuis que les industriels </w:t>
      </w:r>
      <w:proofErr w:type="gramStart"/>
      <w:r>
        <w:rPr>
          <w:rFonts w:ascii="CenturyStd-Light" w:hAnsi="CenturyStd-Light" w:cs="CenturyStd-Light"/>
          <w:color w:val="000000"/>
          <w:sz w:val="18"/>
          <w:szCs w:val="18"/>
        </w:rPr>
        <w:t>proposent</w:t>
      </w:r>
      <w:proofErr w:type="gramEnd"/>
      <w:r w:rsidR="00C10EB2">
        <w:rPr>
          <w:rFonts w:ascii="CenturyStd-Light" w:hAnsi="CenturyStd-Light" w:cs="CenturyStd-Light"/>
          <w:color w:val="000000"/>
          <w:sz w:val="18"/>
          <w:szCs w:val="18"/>
        </w:rPr>
        <w:t xml:space="preserve"> </w:t>
      </w:r>
      <w:r>
        <w:rPr>
          <w:rFonts w:ascii="CenturyStd-Light" w:hAnsi="CenturyStd-Light" w:cs="CenturyStd-Light"/>
          <w:color w:val="000000"/>
          <w:sz w:val="18"/>
          <w:szCs w:val="18"/>
        </w:rPr>
        <w:t>des réacteurs normalisés</w:t>
      </w:r>
      <w:r w:rsidR="00C10EB2">
        <w:rPr>
          <w:rFonts w:ascii="CenturyStd-Light" w:hAnsi="CenturyStd-Light" w:cs="CenturyStd-Light"/>
          <w:color w:val="000000"/>
          <w:sz w:val="18"/>
          <w:szCs w:val="18"/>
        </w:rPr>
        <w:t xml:space="preserve"> </w:t>
      </w:r>
      <w:r>
        <w:rPr>
          <w:rFonts w:ascii="CenturyStd-Light" w:hAnsi="CenturyStd-Light" w:cs="CenturyStd-Light"/>
          <w:color w:val="000000"/>
          <w:sz w:val="18"/>
          <w:szCs w:val="18"/>
        </w:rPr>
        <w:t>de puissance inférieure à 500 MW,</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les petits réacteurs modulaires</w:t>
      </w:r>
    </w:p>
    <w:p w14:paraId="56471F0E" w14:textId="77777777" w:rsidR="00692D58" w:rsidRDefault="00692D58" w:rsidP="006B39E5">
      <w:pPr>
        <w:autoSpaceDE w:val="0"/>
        <w:autoSpaceDN w:val="0"/>
        <w:adjustRightInd w:val="0"/>
        <w:spacing w:after="0" w:line="240" w:lineRule="auto"/>
        <w:rPr>
          <w:rFonts w:ascii="Sosa-Regular" w:hAnsi="Sosa-Regular" w:cs="Sosa-Regular"/>
          <w:color w:val="FF3B45"/>
          <w:sz w:val="12"/>
          <w:szCs w:val="12"/>
        </w:rPr>
      </w:pPr>
    </w:p>
    <w:p w14:paraId="017F45D0" w14:textId="77777777" w:rsidR="006B39E5" w:rsidRPr="00982EB7" w:rsidRDefault="006B39E5" w:rsidP="006B39E5">
      <w:pPr>
        <w:autoSpaceDE w:val="0"/>
        <w:autoSpaceDN w:val="0"/>
        <w:adjustRightInd w:val="0"/>
        <w:spacing w:after="0" w:line="240" w:lineRule="auto"/>
        <w:rPr>
          <w:rFonts w:ascii="CenturyStd-Bold" w:hAnsi="CenturyStd-Bold" w:cs="CenturyStd-Bold"/>
          <w:b/>
          <w:bCs/>
          <w:color w:val="000000"/>
          <w:sz w:val="20"/>
          <w:szCs w:val="14"/>
        </w:rPr>
      </w:pPr>
      <w:r w:rsidRPr="00982EB7">
        <w:rPr>
          <w:rFonts w:ascii="CenturyStd-Bold" w:hAnsi="CenturyStd-Bold" w:cs="CenturyStd-Bold"/>
          <w:b/>
          <w:bCs/>
          <w:color w:val="000000"/>
          <w:sz w:val="20"/>
          <w:szCs w:val="14"/>
        </w:rPr>
        <w:t>SMR</w:t>
      </w:r>
    </w:p>
    <w:p w14:paraId="0AA5FB5B" w14:textId="77777777" w:rsidR="006B39E5" w:rsidRPr="00692D58" w:rsidRDefault="006B39E5" w:rsidP="006B39E5">
      <w:pPr>
        <w:autoSpaceDE w:val="0"/>
        <w:autoSpaceDN w:val="0"/>
        <w:adjustRightInd w:val="0"/>
        <w:spacing w:after="0" w:line="240" w:lineRule="auto"/>
        <w:rPr>
          <w:rFonts w:ascii="CenturyStd-LightItalic" w:hAnsi="CenturyStd-LightItalic" w:cs="CenturyStd-LightItalic"/>
          <w:i/>
          <w:iCs/>
          <w:color w:val="000000"/>
          <w:sz w:val="14"/>
          <w:szCs w:val="14"/>
        </w:rPr>
      </w:pPr>
    </w:p>
    <w:p w14:paraId="1CA88DC8" w14:textId="77777777" w:rsidR="006B39E5" w:rsidRDefault="006B39E5" w:rsidP="006B39E5">
      <w:pPr>
        <w:autoSpaceDE w:val="0"/>
        <w:autoSpaceDN w:val="0"/>
        <w:adjustRightInd w:val="0"/>
        <w:spacing w:after="0" w:line="240" w:lineRule="auto"/>
        <w:rPr>
          <w:rFonts w:ascii="CenturyStd-Light" w:hAnsi="CenturyStd-Light" w:cs="CenturyStd-Light"/>
          <w:color w:val="000000"/>
          <w:sz w:val="18"/>
          <w:szCs w:val="18"/>
        </w:rPr>
      </w:pPr>
      <w:r>
        <w:rPr>
          <w:rFonts w:ascii="CenturyStd-Light" w:hAnsi="CenturyStd-Light" w:cs="CenturyStd-Light"/>
          <w:color w:val="000000"/>
          <w:sz w:val="18"/>
          <w:szCs w:val="18"/>
        </w:rPr>
        <w:t>SMR, le montage sur site est limité</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à quelques branchements et les</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opérations de rechargement disparaissent</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 les réacteurs sont livrés</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en état de marche et sont renvoyés</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à l’usine pour recharge. La</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taille modeste est favorable à des</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installations souterraines ; la modularité</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permet d’ajouter des unités au</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fur et à mesure des besoins ; la desserte</w:t>
      </w:r>
      <w:r w:rsidR="00B47713">
        <w:rPr>
          <w:rFonts w:ascii="CenturyStd-Light" w:hAnsi="CenturyStd-Light" w:cs="CenturyStd-Light"/>
          <w:color w:val="000000"/>
          <w:sz w:val="18"/>
          <w:szCs w:val="18"/>
        </w:rPr>
        <w:t xml:space="preserve"> </w:t>
      </w:r>
      <w:r>
        <w:rPr>
          <w:rFonts w:ascii="CenturyStd-Light" w:hAnsi="CenturyStd-Light" w:cs="CenturyStd-Light"/>
          <w:color w:val="000000"/>
          <w:sz w:val="18"/>
          <w:szCs w:val="18"/>
        </w:rPr>
        <w:t>de lieux à faible consommation</w:t>
      </w:r>
      <w:r w:rsidR="001E011A">
        <w:rPr>
          <w:rFonts w:ascii="CenturyStd-Light" w:hAnsi="CenturyStd-Light" w:cs="CenturyStd-Light"/>
          <w:color w:val="000000"/>
          <w:sz w:val="18"/>
          <w:szCs w:val="18"/>
        </w:rPr>
        <w:t xml:space="preserve"> </w:t>
      </w:r>
      <w:r>
        <w:rPr>
          <w:rFonts w:ascii="CenturyStd-Light" w:hAnsi="CenturyStd-Light" w:cs="CenturyStd-Light"/>
          <w:color w:val="000000"/>
          <w:sz w:val="18"/>
          <w:szCs w:val="18"/>
        </w:rPr>
        <w:t>est au premier rang des arguments</w:t>
      </w:r>
      <w:r w:rsidR="001E011A">
        <w:rPr>
          <w:rFonts w:ascii="CenturyStd-Light" w:hAnsi="CenturyStd-Light" w:cs="CenturyStd-Light"/>
          <w:color w:val="000000"/>
          <w:sz w:val="18"/>
          <w:szCs w:val="18"/>
        </w:rPr>
        <w:t xml:space="preserve"> </w:t>
      </w:r>
      <w:r>
        <w:rPr>
          <w:rFonts w:ascii="CenturyStd-Light" w:hAnsi="CenturyStd-Light" w:cs="CenturyStd-Light"/>
          <w:color w:val="000000"/>
          <w:sz w:val="18"/>
          <w:szCs w:val="18"/>
        </w:rPr>
        <w:t>techniques ; bien évidemment, et la</w:t>
      </w:r>
      <w:r w:rsidR="001E011A">
        <w:rPr>
          <w:rFonts w:ascii="CenturyStd-Light" w:hAnsi="CenturyStd-Light" w:cs="CenturyStd-Light"/>
          <w:color w:val="000000"/>
          <w:sz w:val="18"/>
          <w:szCs w:val="18"/>
        </w:rPr>
        <w:t xml:space="preserve"> </w:t>
      </w:r>
      <w:r>
        <w:rPr>
          <w:rFonts w:ascii="CenturyStd-Light" w:hAnsi="CenturyStd-Light" w:cs="CenturyStd-Light"/>
          <w:color w:val="000000"/>
          <w:sz w:val="18"/>
          <w:szCs w:val="18"/>
        </w:rPr>
        <w:t>fabrication en série permet d’abaisser</w:t>
      </w:r>
    </w:p>
    <w:p w14:paraId="0953E7B8" w14:textId="77777777" w:rsidR="006B39E5" w:rsidRDefault="001E011A" w:rsidP="006B39E5">
      <w:pPr>
        <w:autoSpaceDE w:val="0"/>
        <w:autoSpaceDN w:val="0"/>
        <w:adjustRightInd w:val="0"/>
        <w:spacing w:after="0" w:line="240" w:lineRule="auto"/>
        <w:rPr>
          <w:rFonts w:ascii="CenturyStd-Light" w:hAnsi="CenturyStd-Light" w:cs="CenturyStd-Light"/>
          <w:color w:val="000000"/>
          <w:sz w:val="18"/>
          <w:szCs w:val="18"/>
        </w:rPr>
      </w:pPr>
      <w:proofErr w:type="gramStart"/>
      <w:r>
        <w:rPr>
          <w:rFonts w:ascii="CenturyStd-Light" w:hAnsi="CenturyStd-Light" w:cs="CenturyStd-Light"/>
          <w:color w:val="000000"/>
          <w:sz w:val="18"/>
          <w:szCs w:val="18"/>
        </w:rPr>
        <w:t>le</w:t>
      </w:r>
      <w:proofErr w:type="gramEnd"/>
      <w:r>
        <w:rPr>
          <w:rFonts w:ascii="CenturyStd-Light" w:hAnsi="CenturyStd-Light" w:cs="CenturyStd-Light"/>
          <w:color w:val="000000"/>
          <w:sz w:val="18"/>
          <w:szCs w:val="18"/>
        </w:rPr>
        <w:t xml:space="preserve"> coût</w:t>
      </w:r>
    </w:p>
    <w:p w14:paraId="72ED468F" w14:textId="77777777" w:rsidR="001E011A" w:rsidRDefault="001E011A" w:rsidP="006B39E5">
      <w:pPr>
        <w:autoSpaceDE w:val="0"/>
        <w:autoSpaceDN w:val="0"/>
        <w:adjustRightInd w:val="0"/>
        <w:spacing w:after="0" w:line="240" w:lineRule="auto"/>
        <w:rPr>
          <w:rFonts w:ascii="CenturyStd-Light" w:hAnsi="CenturyStd-Light" w:cs="CenturyStd-Light"/>
          <w:color w:val="000000"/>
          <w:sz w:val="18"/>
          <w:szCs w:val="18"/>
        </w:rPr>
      </w:pPr>
    </w:p>
    <w:p w14:paraId="13B8D3CD" w14:textId="77777777" w:rsidR="006B39E5" w:rsidRDefault="006B39E5" w:rsidP="006B39E5">
      <w:pPr>
        <w:autoSpaceDE w:val="0"/>
        <w:autoSpaceDN w:val="0"/>
        <w:adjustRightInd w:val="0"/>
        <w:spacing w:after="0" w:line="240" w:lineRule="auto"/>
        <w:rPr>
          <w:rFonts w:ascii="OpenSans-Extrabold" w:hAnsi="OpenSans-Extrabold" w:cs="OpenSans-Extrabold"/>
          <w:b/>
          <w:sz w:val="14"/>
          <w:szCs w:val="14"/>
        </w:rPr>
      </w:pPr>
      <w:r w:rsidRPr="00674BE5">
        <w:rPr>
          <w:rFonts w:ascii="OpenSans-Extrabold" w:hAnsi="OpenSans-Extrabold" w:cs="OpenSans-Extrabold"/>
          <w:b/>
          <w:sz w:val="18"/>
          <w:szCs w:val="18"/>
        </w:rPr>
        <w:t>DISCUSSION</w:t>
      </w:r>
    </w:p>
    <w:p w14:paraId="34A2144C" w14:textId="77777777" w:rsidR="00674BE5" w:rsidRPr="00674BE5" w:rsidRDefault="00674BE5" w:rsidP="006B39E5">
      <w:pPr>
        <w:autoSpaceDE w:val="0"/>
        <w:autoSpaceDN w:val="0"/>
        <w:adjustRightInd w:val="0"/>
        <w:spacing w:after="0" w:line="240" w:lineRule="auto"/>
        <w:rPr>
          <w:rFonts w:ascii="OpenSans-Extrabold" w:hAnsi="OpenSans-Extrabold" w:cs="OpenSans-Extrabold"/>
          <w:b/>
          <w:sz w:val="14"/>
          <w:szCs w:val="14"/>
        </w:rPr>
      </w:pPr>
    </w:p>
    <w:p w14:paraId="48F1839F" w14:textId="77777777" w:rsidR="006B39E5" w:rsidRDefault="006B39E5" w:rsidP="006B39E5">
      <w:pPr>
        <w:autoSpaceDE w:val="0"/>
        <w:autoSpaceDN w:val="0"/>
        <w:adjustRightInd w:val="0"/>
        <w:spacing w:after="0" w:line="240" w:lineRule="auto"/>
        <w:rPr>
          <w:rFonts w:ascii="CenturyStd-Light" w:hAnsi="CenturyStd-Light" w:cs="CenturyStd-Light"/>
          <w:color w:val="000000"/>
          <w:sz w:val="18"/>
          <w:szCs w:val="18"/>
        </w:rPr>
      </w:pPr>
      <w:r>
        <w:rPr>
          <w:rFonts w:ascii="CenturyStd-Light" w:hAnsi="CenturyStd-Light" w:cs="CenturyStd-Light"/>
          <w:color w:val="000000"/>
          <w:sz w:val="18"/>
          <w:szCs w:val="18"/>
        </w:rPr>
        <w:t>La réduction des risques est l’argument</w:t>
      </w:r>
      <w:r w:rsidR="001E011A">
        <w:rPr>
          <w:rFonts w:ascii="CenturyStd-Light" w:hAnsi="CenturyStd-Light" w:cs="CenturyStd-Light"/>
          <w:color w:val="000000"/>
          <w:sz w:val="18"/>
          <w:szCs w:val="18"/>
        </w:rPr>
        <w:t xml:space="preserve"> </w:t>
      </w:r>
      <w:r>
        <w:rPr>
          <w:rFonts w:ascii="CenturyStd-Light" w:hAnsi="CenturyStd-Light" w:cs="CenturyStd-Light"/>
          <w:color w:val="000000"/>
          <w:sz w:val="18"/>
          <w:szCs w:val="18"/>
        </w:rPr>
        <w:t>majeur en faveur des solutions</w:t>
      </w:r>
      <w:r w:rsidR="001E011A">
        <w:rPr>
          <w:rFonts w:ascii="CenturyStd-Light" w:hAnsi="CenturyStd-Light" w:cs="CenturyStd-Light"/>
          <w:color w:val="000000"/>
          <w:sz w:val="18"/>
          <w:szCs w:val="18"/>
        </w:rPr>
        <w:t xml:space="preserve"> </w:t>
      </w:r>
      <w:r>
        <w:rPr>
          <w:rFonts w:ascii="CenturyStd-Light" w:hAnsi="CenturyStd-Light" w:cs="CenturyStd-Light"/>
          <w:color w:val="000000"/>
          <w:sz w:val="18"/>
          <w:szCs w:val="18"/>
        </w:rPr>
        <w:t>souterraines (</w:t>
      </w:r>
      <w:r>
        <w:rPr>
          <w:rFonts w:ascii="CenturyStd-LightItalic" w:hAnsi="CenturyStd-LightItalic" w:cs="CenturyStd-LightItalic"/>
          <w:i/>
          <w:iCs/>
          <w:color w:val="000000"/>
          <w:sz w:val="18"/>
          <w:szCs w:val="18"/>
        </w:rPr>
        <w:t>tableau 1</w:t>
      </w:r>
      <w:r>
        <w:rPr>
          <w:rFonts w:ascii="CenturyStd-Light" w:hAnsi="CenturyStd-Light" w:cs="CenturyStd-Light"/>
          <w:color w:val="000000"/>
          <w:sz w:val="18"/>
          <w:szCs w:val="18"/>
        </w:rPr>
        <w:t>) : dans des</w:t>
      </w:r>
      <w:r w:rsidR="001E011A">
        <w:rPr>
          <w:rFonts w:ascii="CenturyStd-Light" w:hAnsi="CenturyStd-Light" w:cs="CenturyStd-Light"/>
          <w:color w:val="000000"/>
          <w:sz w:val="18"/>
          <w:szCs w:val="18"/>
        </w:rPr>
        <w:t xml:space="preserve"> </w:t>
      </w:r>
      <w:r>
        <w:rPr>
          <w:rFonts w:ascii="CenturyStd-Light" w:hAnsi="CenturyStd-Light" w:cs="CenturyStd-Light"/>
          <w:color w:val="000000"/>
          <w:sz w:val="18"/>
          <w:szCs w:val="18"/>
        </w:rPr>
        <w:t>installations aussi complexes que les</w:t>
      </w:r>
      <w:r w:rsidR="001E011A">
        <w:rPr>
          <w:rFonts w:ascii="CenturyStd-Light" w:hAnsi="CenturyStd-Light" w:cs="CenturyStd-Light"/>
          <w:color w:val="000000"/>
          <w:sz w:val="18"/>
          <w:szCs w:val="18"/>
        </w:rPr>
        <w:t xml:space="preserve"> </w:t>
      </w:r>
      <w:r>
        <w:rPr>
          <w:rFonts w:ascii="CenturyStd-Light" w:hAnsi="CenturyStd-Light" w:cs="CenturyStd-Light"/>
          <w:color w:val="000000"/>
          <w:sz w:val="18"/>
          <w:szCs w:val="18"/>
        </w:rPr>
        <w:t>réacteurs nucléaires, soumises aux</w:t>
      </w:r>
      <w:r w:rsidR="001E011A">
        <w:rPr>
          <w:rFonts w:ascii="CenturyStd-Light" w:hAnsi="CenturyStd-Light" w:cs="CenturyStd-Light"/>
          <w:color w:val="000000"/>
          <w:sz w:val="18"/>
          <w:szCs w:val="18"/>
        </w:rPr>
        <w:t xml:space="preserve"> </w:t>
      </w:r>
      <w:r>
        <w:rPr>
          <w:rFonts w:ascii="CenturyStd-Light" w:hAnsi="CenturyStd-Light" w:cs="CenturyStd-Light"/>
          <w:color w:val="000000"/>
          <w:sz w:val="18"/>
          <w:szCs w:val="18"/>
        </w:rPr>
        <w:t>aléas naturels mal connus et aux</w:t>
      </w:r>
      <w:r w:rsidR="001E011A">
        <w:rPr>
          <w:rFonts w:ascii="CenturyStd-Light" w:hAnsi="CenturyStd-Light" w:cs="CenturyStd-Light"/>
          <w:color w:val="000000"/>
          <w:sz w:val="18"/>
          <w:szCs w:val="18"/>
        </w:rPr>
        <w:t xml:space="preserve"> </w:t>
      </w:r>
      <w:r>
        <w:rPr>
          <w:rFonts w:ascii="CenturyStd-Light" w:hAnsi="CenturyStd-Light" w:cs="CenturyStd-Light"/>
          <w:color w:val="000000"/>
          <w:sz w:val="18"/>
          <w:szCs w:val="18"/>
        </w:rPr>
        <w:t>erreurs humaines, le risque d’accident</w:t>
      </w:r>
      <w:r w:rsidR="00C10EB2">
        <w:rPr>
          <w:rFonts w:ascii="CenturyStd-Light" w:hAnsi="CenturyStd-Light" w:cs="CenturyStd-Light"/>
          <w:color w:val="000000"/>
          <w:sz w:val="18"/>
          <w:szCs w:val="18"/>
        </w:rPr>
        <w:t xml:space="preserve"> </w:t>
      </w:r>
      <w:r>
        <w:rPr>
          <w:rFonts w:ascii="CenturyStd-Light" w:hAnsi="CenturyStd-Light" w:cs="CenturyStd-Light"/>
          <w:color w:val="000000"/>
          <w:sz w:val="18"/>
          <w:szCs w:val="18"/>
        </w:rPr>
        <w:t>doit être réduit autant que</w:t>
      </w:r>
      <w:r w:rsidR="001E011A">
        <w:rPr>
          <w:rFonts w:ascii="CenturyStd-Light" w:hAnsi="CenturyStd-Light" w:cs="CenturyStd-Light"/>
          <w:color w:val="000000"/>
          <w:sz w:val="18"/>
          <w:szCs w:val="18"/>
        </w:rPr>
        <w:t xml:space="preserve"> </w:t>
      </w:r>
      <w:r>
        <w:rPr>
          <w:rFonts w:ascii="CenturyStd-Light" w:hAnsi="CenturyStd-Light" w:cs="CenturyStd-Light"/>
          <w:color w:val="000000"/>
          <w:sz w:val="18"/>
          <w:szCs w:val="18"/>
        </w:rPr>
        <w:t>possible. Seule la mise en souterrain</w:t>
      </w:r>
      <w:r w:rsidR="001E011A">
        <w:rPr>
          <w:rFonts w:ascii="CenturyStd-Light" w:hAnsi="CenturyStd-Light" w:cs="CenturyStd-Light"/>
          <w:color w:val="000000"/>
          <w:sz w:val="18"/>
          <w:szCs w:val="18"/>
        </w:rPr>
        <w:t xml:space="preserve"> </w:t>
      </w:r>
      <w:r>
        <w:rPr>
          <w:rFonts w:ascii="CenturyStd-Light" w:hAnsi="CenturyStd-Light" w:cs="CenturyStd-Light"/>
          <w:color w:val="000000"/>
          <w:sz w:val="18"/>
          <w:szCs w:val="18"/>
        </w:rPr>
        <w:t>peut procurer la barrière supplémentaire</w:t>
      </w:r>
      <w:r w:rsidR="001E011A">
        <w:rPr>
          <w:rFonts w:ascii="CenturyStd-Light" w:hAnsi="CenturyStd-Light" w:cs="CenturyStd-Light"/>
          <w:color w:val="000000"/>
          <w:sz w:val="18"/>
          <w:szCs w:val="18"/>
        </w:rPr>
        <w:t xml:space="preserve"> </w:t>
      </w:r>
      <w:r>
        <w:rPr>
          <w:rFonts w:ascii="CenturyStd-Light" w:hAnsi="CenturyStd-Light" w:cs="CenturyStd-Light"/>
          <w:color w:val="000000"/>
          <w:sz w:val="18"/>
          <w:szCs w:val="18"/>
        </w:rPr>
        <w:t>alors nécessaire en dernier</w:t>
      </w:r>
      <w:r w:rsidR="001E011A">
        <w:rPr>
          <w:rFonts w:ascii="CenturyStd-Light" w:hAnsi="CenturyStd-Light" w:cs="CenturyStd-Light"/>
          <w:color w:val="000000"/>
          <w:sz w:val="18"/>
          <w:szCs w:val="18"/>
        </w:rPr>
        <w:t xml:space="preserve"> </w:t>
      </w:r>
      <w:r>
        <w:rPr>
          <w:rFonts w:ascii="CenturyStd-Light" w:hAnsi="CenturyStd-Light" w:cs="CenturyStd-Light"/>
          <w:color w:val="000000"/>
          <w:sz w:val="18"/>
          <w:szCs w:val="18"/>
        </w:rPr>
        <w:t>ressort. Un surcoût probable de 10</w:t>
      </w:r>
      <w:r w:rsidR="001E011A">
        <w:rPr>
          <w:rFonts w:ascii="CenturyStd-Light" w:hAnsi="CenturyStd-Light" w:cs="CenturyStd-Light"/>
          <w:color w:val="000000"/>
          <w:sz w:val="18"/>
          <w:szCs w:val="18"/>
        </w:rPr>
        <w:t xml:space="preserve"> à 20 % est peu face aux dé</w:t>
      </w:r>
      <w:r w:rsidR="00C10EB2">
        <w:rPr>
          <w:rFonts w:ascii="CenturyStd-Light" w:hAnsi="CenturyStd-Light" w:cs="CenturyStd-Light"/>
          <w:color w:val="000000"/>
          <w:sz w:val="18"/>
          <w:szCs w:val="18"/>
        </w:rPr>
        <w:t>pens</w:t>
      </w:r>
      <w:r>
        <w:rPr>
          <w:rFonts w:ascii="CenturyStd-Light" w:hAnsi="CenturyStd-Light" w:cs="CenturyStd-Light"/>
          <w:color w:val="000000"/>
          <w:sz w:val="18"/>
          <w:szCs w:val="18"/>
        </w:rPr>
        <w:t>e</w:t>
      </w:r>
      <w:r w:rsidR="00C10EB2">
        <w:rPr>
          <w:rFonts w:ascii="CenturyStd-Light" w:hAnsi="CenturyStd-Light" w:cs="CenturyStd-Light"/>
          <w:color w:val="000000"/>
          <w:sz w:val="18"/>
          <w:szCs w:val="18"/>
        </w:rPr>
        <w:t>s e</w:t>
      </w:r>
      <w:r>
        <w:rPr>
          <w:rFonts w:ascii="CenturyStd-Light" w:hAnsi="CenturyStd-Light" w:cs="CenturyStd-Light"/>
          <w:color w:val="000000"/>
          <w:sz w:val="18"/>
          <w:szCs w:val="18"/>
        </w:rPr>
        <w:t>ngagées après les accidents les</w:t>
      </w:r>
      <w:r w:rsidR="001E011A">
        <w:rPr>
          <w:rFonts w:ascii="CenturyStd-Light" w:hAnsi="CenturyStd-Light" w:cs="CenturyStd-Light"/>
          <w:color w:val="000000"/>
          <w:sz w:val="18"/>
          <w:szCs w:val="18"/>
        </w:rPr>
        <w:t xml:space="preserve"> </w:t>
      </w:r>
      <w:r>
        <w:rPr>
          <w:rFonts w:ascii="CenturyStd-Light" w:hAnsi="CenturyStd-Light" w:cs="CenturyStd-Light"/>
          <w:color w:val="000000"/>
          <w:sz w:val="18"/>
          <w:szCs w:val="18"/>
        </w:rPr>
        <w:t>plus graves.</w:t>
      </w:r>
    </w:p>
    <w:p w14:paraId="745346B2" w14:textId="77777777" w:rsidR="00C10EB2" w:rsidRDefault="00C10EB2" w:rsidP="006B39E5">
      <w:pPr>
        <w:autoSpaceDE w:val="0"/>
        <w:autoSpaceDN w:val="0"/>
        <w:adjustRightInd w:val="0"/>
        <w:spacing w:after="0" w:line="240" w:lineRule="auto"/>
        <w:rPr>
          <w:rFonts w:ascii="CenturyStd-Light" w:hAnsi="CenturyStd-Light" w:cs="CenturyStd-Light"/>
          <w:color w:val="000000"/>
          <w:sz w:val="18"/>
          <w:szCs w:val="18"/>
        </w:rPr>
      </w:pPr>
    </w:p>
    <w:p w14:paraId="39CC15FF" w14:textId="77777777" w:rsidR="006B39E5" w:rsidRDefault="006B39E5" w:rsidP="006B39E5">
      <w:pPr>
        <w:autoSpaceDE w:val="0"/>
        <w:autoSpaceDN w:val="0"/>
        <w:adjustRightInd w:val="0"/>
        <w:spacing w:after="0" w:line="240" w:lineRule="auto"/>
        <w:rPr>
          <w:rFonts w:ascii="CenturyStd-Light" w:hAnsi="CenturyStd-Light" w:cs="CenturyStd-Light"/>
          <w:color w:val="000000"/>
          <w:sz w:val="18"/>
          <w:szCs w:val="18"/>
        </w:rPr>
      </w:pPr>
      <w:r>
        <w:rPr>
          <w:rFonts w:ascii="CenturyStd-Light" w:hAnsi="CenturyStd-Light" w:cs="CenturyStd-Light"/>
          <w:color w:val="000000"/>
          <w:sz w:val="18"/>
          <w:szCs w:val="18"/>
        </w:rPr>
        <w:t>D’où vient donc cette opposition</w:t>
      </w:r>
      <w:r w:rsidR="001E011A">
        <w:rPr>
          <w:rFonts w:ascii="CenturyStd-Light" w:hAnsi="CenturyStd-Light" w:cs="CenturyStd-Light"/>
          <w:color w:val="000000"/>
          <w:sz w:val="18"/>
          <w:szCs w:val="18"/>
        </w:rPr>
        <w:t xml:space="preserve"> </w:t>
      </w:r>
      <w:r>
        <w:rPr>
          <w:rFonts w:ascii="CenturyStd-Light" w:hAnsi="CenturyStd-Light" w:cs="CenturyStd-Light"/>
          <w:color w:val="000000"/>
          <w:sz w:val="18"/>
          <w:szCs w:val="18"/>
        </w:rPr>
        <w:t>générale à l’idée même de réacteurs</w:t>
      </w:r>
      <w:r w:rsidR="001E011A">
        <w:rPr>
          <w:rFonts w:ascii="CenturyStd-Light" w:hAnsi="CenturyStd-Light" w:cs="CenturyStd-Light"/>
          <w:color w:val="000000"/>
          <w:sz w:val="18"/>
          <w:szCs w:val="18"/>
        </w:rPr>
        <w:t xml:space="preserve"> </w:t>
      </w:r>
      <w:r>
        <w:rPr>
          <w:rFonts w:ascii="CenturyStd-Light" w:hAnsi="CenturyStd-Light" w:cs="CenturyStd-Light"/>
          <w:color w:val="000000"/>
          <w:sz w:val="18"/>
          <w:szCs w:val="18"/>
        </w:rPr>
        <w:t>souterrains ?</w:t>
      </w:r>
      <w:r w:rsidR="001E011A">
        <w:rPr>
          <w:rFonts w:ascii="CenturyStd-Light" w:hAnsi="CenturyStd-Light" w:cs="CenturyStd-Light"/>
          <w:color w:val="000000"/>
          <w:sz w:val="18"/>
          <w:szCs w:val="18"/>
        </w:rPr>
        <w:t xml:space="preserve">  </w:t>
      </w:r>
      <w:r>
        <w:rPr>
          <w:rFonts w:ascii="CenturyStd-Light" w:hAnsi="CenturyStd-Light" w:cs="CenturyStd-Light"/>
          <w:color w:val="000000"/>
          <w:sz w:val="18"/>
          <w:szCs w:val="18"/>
        </w:rPr>
        <w:t>L’auteur pense que tous les problèmes</w:t>
      </w:r>
      <w:r w:rsidR="00C10EB2">
        <w:rPr>
          <w:rFonts w:ascii="CenturyStd-Light" w:hAnsi="CenturyStd-Light" w:cs="CenturyStd-Light"/>
          <w:color w:val="000000"/>
          <w:sz w:val="18"/>
          <w:szCs w:val="18"/>
        </w:rPr>
        <w:t xml:space="preserve"> </w:t>
      </w:r>
      <w:r>
        <w:rPr>
          <w:rFonts w:ascii="CenturyStd-Light" w:hAnsi="CenturyStd-Light" w:cs="CenturyStd-Light"/>
          <w:color w:val="000000"/>
          <w:sz w:val="18"/>
          <w:szCs w:val="18"/>
        </w:rPr>
        <w:t>technologiques sont surmontables,</w:t>
      </w:r>
      <w:r w:rsidR="001E011A">
        <w:rPr>
          <w:rFonts w:ascii="CenturyStd-Light" w:hAnsi="CenturyStd-Light" w:cs="CenturyStd-Light"/>
          <w:color w:val="000000"/>
          <w:sz w:val="18"/>
          <w:szCs w:val="18"/>
        </w:rPr>
        <w:t xml:space="preserve"> </w:t>
      </w:r>
      <w:r>
        <w:rPr>
          <w:rFonts w:ascii="CenturyStd-Light" w:hAnsi="CenturyStd-Light" w:cs="CenturyStd-Light"/>
          <w:color w:val="000000"/>
          <w:sz w:val="18"/>
          <w:szCs w:val="18"/>
        </w:rPr>
        <w:t>mais qu’une crainte</w:t>
      </w:r>
      <w:r w:rsidR="001E011A">
        <w:rPr>
          <w:rFonts w:ascii="CenturyStd-Light" w:hAnsi="CenturyStd-Light" w:cs="CenturyStd-Light"/>
          <w:color w:val="000000"/>
          <w:sz w:val="18"/>
          <w:szCs w:val="18"/>
        </w:rPr>
        <w:t xml:space="preserve"> </w:t>
      </w:r>
      <w:r>
        <w:rPr>
          <w:rFonts w:ascii="CenturyStd-Light" w:hAnsi="CenturyStd-Light" w:cs="CenturyStd-Light"/>
          <w:color w:val="000000"/>
          <w:sz w:val="18"/>
          <w:szCs w:val="18"/>
        </w:rPr>
        <w:t>diffuse imprègne les responsables</w:t>
      </w:r>
      <w:r w:rsidR="001E011A">
        <w:rPr>
          <w:rFonts w:ascii="CenturyStd-Light" w:hAnsi="CenturyStd-Light" w:cs="CenturyStd-Light"/>
          <w:color w:val="000000"/>
          <w:sz w:val="18"/>
          <w:szCs w:val="18"/>
        </w:rPr>
        <w:t xml:space="preserve"> </w:t>
      </w:r>
      <w:r>
        <w:rPr>
          <w:rFonts w:ascii="CenturyStd-Light" w:hAnsi="CenturyStd-Light" w:cs="CenturyStd-Light"/>
          <w:color w:val="000000"/>
          <w:sz w:val="18"/>
          <w:szCs w:val="18"/>
        </w:rPr>
        <w:t xml:space="preserve">nucléaires, en raison de </w:t>
      </w:r>
      <w:r w:rsidR="00C10EB2">
        <w:rPr>
          <w:rFonts w:ascii="CenturyStd-Light" w:hAnsi="CenturyStd-Light" w:cs="CenturyStd-Light"/>
          <w:color w:val="000000"/>
          <w:sz w:val="18"/>
          <w:szCs w:val="18"/>
        </w:rPr>
        <w:t>l</w:t>
      </w:r>
      <w:r>
        <w:rPr>
          <w:rFonts w:ascii="CenturyStd-Light" w:hAnsi="CenturyStd-Light" w:cs="CenturyStd-Light"/>
          <w:color w:val="000000"/>
          <w:sz w:val="18"/>
          <w:szCs w:val="18"/>
        </w:rPr>
        <w:t>’insuffisance</w:t>
      </w:r>
      <w:r w:rsidR="001E011A">
        <w:rPr>
          <w:rFonts w:ascii="CenturyStd-Light" w:hAnsi="CenturyStd-Light" w:cs="CenturyStd-Light"/>
          <w:color w:val="000000"/>
          <w:sz w:val="18"/>
          <w:szCs w:val="18"/>
        </w:rPr>
        <w:t xml:space="preserve"> </w:t>
      </w:r>
      <w:r>
        <w:rPr>
          <w:rFonts w:ascii="CenturyStd-Light" w:hAnsi="CenturyStd-Light" w:cs="CenturyStd-Light"/>
          <w:color w:val="000000"/>
          <w:sz w:val="18"/>
          <w:szCs w:val="18"/>
        </w:rPr>
        <w:t xml:space="preserve">de </w:t>
      </w:r>
      <w:r>
        <w:rPr>
          <w:rFonts w:ascii="CenturyStd-LightItalic" w:hAnsi="CenturyStd-LightItalic" w:cs="CenturyStd-LightItalic"/>
          <w:i/>
          <w:iCs/>
          <w:color w:val="000000"/>
          <w:sz w:val="18"/>
          <w:szCs w:val="18"/>
        </w:rPr>
        <w:t>« culture du souterrain»</w:t>
      </w:r>
      <w:r>
        <w:rPr>
          <w:rFonts w:ascii="CenturyStd-Light" w:hAnsi="CenturyStd-Light" w:cs="CenturyStd-Light"/>
          <w:color w:val="000000"/>
          <w:sz w:val="18"/>
          <w:szCs w:val="18"/>
        </w:rPr>
        <w:t>. Les visites de mines des</w:t>
      </w:r>
      <w:r w:rsidR="001E011A">
        <w:rPr>
          <w:rFonts w:ascii="CenturyStd-Light" w:hAnsi="CenturyStd-Light" w:cs="CenturyStd-Light"/>
          <w:color w:val="000000"/>
          <w:sz w:val="18"/>
          <w:szCs w:val="18"/>
        </w:rPr>
        <w:t xml:space="preserve"> </w:t>
      </w:r>
      <w:r>
        <w:rPr>
          <w:rFonts w:ascii="CenturyStd-Light" w:hAnsi="CenturyStd-Light" w:cs="CenturyStd-Light"/>
          <w:color w:val="000000"/>
          <w:sz w:val="18"/>
          <w:szCs w:val="18"/>
        </w:rPr>
        <w:t>étudiants de première année étaient</w:t>
      </w:r>
      <w:r w:rsidR="001E011A">
        <w:rPr>
          <w:rFonts w:ascii="CenturyStd-Light" w:hAnsi="CenturyStd-Light" w:cs="CenturyStd-Light"/>
          <w:color w:val="000000"/>
          <w:sz w:val="18"/>
          <w:szCs w:val="18"/>
        </w:rPr>
        <w:t xml:space="preserve"> </w:t>
      </w:r>
      <w:r>
        <w:rPr>
          <w:rFonts w:ascii="CenturyStd-Light" w:hAnsi="CenturyStd-Light" w:cs="CenturyStd-Light"/>
          <w:color w:val="000000"/>
          <w:sz w:val="18"/>
          <w:szCs w:val="18"/>
        </w:rPr>
        <w:lastRenderedPageBreak/>
        <w:t>autrefois conduites dans de « vieux</w:t>
      </w:r>
      <w:r w:rsidR="001E011A">
        <w:rPr>
          <w:rFonts w:ascii="CenturyStd-Light" w:hAnsi="CenturyStd-Light" w:cs="CenturyStd-Light"/>
          <w:color w:val="000000"/>
          <w:sz w:val="18"/>
          <w:szCs w:val="18"/>
        </w:rPr>
        <w:t xml:space="preserve"> </w:t>
      </w:r>
      <w:r>
        <w:rPr>
          <w:rFonts w:ascii="CenturyStd-Light" w:hAnsi="CenturyStd-Light" w:cs="CenturyStd-Light"/>
          <w:color w:val="000000"/>
          <w:sz w:val="18"/>
          <w:szCs w:val="18"/>
        </w:rPr>
        <w:t>quartiers » effondrés où il fallait</w:t>
      </w:r>
      <w:r w:rsidR="001E011A">
        <w:rPr>
          <w:rFonts w:ascii="CenturyStd-Light" w:hAnsi="CenturyStd-Light" w:cs="CenturyStd-Light"/>
          <w:color w:val="000000"/>
          <w:sz w:val="18"/>
          <w:szCs w:val="18"/>
        </w:rPr>
        <w:t xml:space="preserve"> </w:t>
      </w:r>
      <w:r>
        <w:rPr>
          <w:rFonts w:ascii="CenturyStd-Light" w:hAnsi="CenturyStd-Light" w:cs="CenturyStd-Light"/>
          <w:color w:val="000000"/>
          <w:sz w:val="18"/>
          <w:szCs w:val="18"/>
        </w:rPr>
        <w:t>ramper au milieu de boisages brisés</w:t>
      </w:r>
      <w:r w:rsidR="001E011A">
        <w:rPr>
          <w:rFonts w:ascii="CenturyStd-Light" w:hAnsi="CenturyStd-Light" w:cs="CenturyStd-Light"/>
          <w:color w:val="000000"/>
          <w:sz w:val="18"/>
          <w:szCs w:val="18"/>
        </w:rPr>
        <w:t xml:space="preserve"> </w:t>
      </w:r>
      <w:r>
        <w:rPr>
          <w:rFonts w:ascii="CenturyStd-Light" w:hAnsi="CenturyStd-Light" w:cs="CenturyStd-Light"/>
          <w:color w:val="000000"/>
          <w:sz w:val="18"/>
          <w:szCs w:val="18"/>
        </w:rPr>
        <w:t>ou de cadres métalliques tordus…</w:t>
      </w:r>
    </w:p>
    <w:p w14:paraId="6574B0E0" w14:textId="77777777" w:rsidR="00C10EB2" w:rsidRDefault="00C10EB2" w:rsidP="006B39E5">
      <w:pPr>
        <w:autoSpaceDE w:val="0"/>
        <w:autoSpaceDN w:val="0"/>
        <w:adjustRightInd w:val="0"/>
        <w:spacing w:after="0" w:line="240" w:lineRule="auto"/>
        <w:rPr>
          <w:rFonts w:ascii="CenturyStd-Light" w:hAnsi="CenturyStd-Light" w:cs="CenturyStd-Light"/>
          <w:color w:val="000000"/>
          <w:sz w:val="18"/>
          <w:szCs w:val="18"/>
        </w:rPr>
      </w:pPr>
    </w:p>
    <w:p w14:paraId="48B26807" w14:textId="77777777" w:rsidR="006B39E5" w:rsidRDefault="006B39E5" w:rsidP="006B39E5">
      <w:pPr>
        <w:autoSpaceDE w:val="0"/>
        <w:autoSpaceDN w:val="0"/>
        <w:adjustRightInd w:val="0"/>
        <w:spacing w:after="0" w:line="240" w:lineRule="auto"/>
        <w:rPr>
          <w:rFonts w:ascii="CenturyStd-Light" w:hAnsi="CenturyStd-Light" w:cs="CenturyStd-Light"/>
          <w:color w:val="000000"/>
          <w:sz w:val="18"/>
          <w:szCs w:val="18"/>
        </w:rPr>
      </w:pPr>
      <w:r>
        <w:rPr>
          <w:rFonts w:ascii="CenturyStd-Light" w:hAnsi="CenturyStd-Light" w:cs="CenturyStd-Light"/>
          <w:color w:val="000000"/>
          <w:sz w:val="18"/>
          <w:szCs w:val="18"/>
        </w:rPr>
        <w:t>C’était un paradoxe apparent</w:t>
      </w:r>
      <w:r w:rsidR="001E011A">
        <w:rPr>
          <w:rFonts w:ascii="CenturyStd-Light" w:hAnsi="CenturyStd-Light" w:cs="CenturyStd-Light"/>
          <w:color w:val="000000"/>
          <w:sz w:val="18"/>
          <w:szCs w:val="18"/>
        </w:rPr>
        <w:t xml:space="preserve"> </w:t>
      </w:r>
      <w:r>
        <w:rPr>
          <w:rFonts w:ascii="CenturyStd-Light" w:hAnsi="CenturyStd-Light" w:cs="CenturyStd-Light"/>
          <w:color w:val="000000"/>
          <w:sz w:val="18"/>
          <w:szCs w:val="18"/>
        </w:rPr>
        <w:t>puisque, devenus incapables d’efforts,</w:t>
      </w:r>
      <w:r w:rsidR="001E011A">
        <w:rPr>
          <w:rFonts w:ascii="CenturyStd-Light" w:hAnsi="CenturyStd-Light" w:cs="CenturyStd-Light"/>
          <w:color w:val="000000"/>
          <w:sz w:val="18"/>
          <w:szCs w:val="18"/>
        </w:rPr>
        <w:t xml:space="preserve"> </w:t>
      </w:r>
      <w:r>
        <w:rPr>
          <w:rFonts w:ascii="CenturyStd-Light" w:hAnsi="CenturyStd-Light" w:cs="CenturyStd-Light"/>
          <w:color w:val="000000"/>
          <w:sz w:val="18"/>
          <w:szCs w:val="18"/>
        </w:rPr>
        <w:t>ces bois ou cintres n’avaient</w:t>
      </w:r>
      <w:r w:rsidR="001E011A">
        <w:rPr>
          <w:rFonts w:ascii="CenturyStd-Light" w:hAnsi="CenturyStd-Light" w:cs="CenturyStd-Light"/>
          <w:color w:val="000000"/>
          <w:sz w:val="18"/>
          <w:szCs w:val="18"/>
        </w:rPr>
        <w:t xml:space="preserve"> </w:t>
      </w:r>
      <w:r>
        <w:rPr>
          <w:rFonts w:ascii="CenturyStd-Light" w:hAnsi="CenturyStd-Light" w:cs="CenturyStd-Light"/>
          <w:color w:val="000000"/>
          <w:sz w:val="18"/>
          <w:szCs w:val="18"/>
        </w:rPr>
        <w:t>plus besoin d’en fournir : en les écrasant</w:t>
      </w:r>
      <w:r w:rsidR="001E011A">
        <w:rPr>
          <w:rFonts w:ascii="CenturyStd-Light" w:hAnsi="CenturyStd-Light" w:cs="CenturyStd-Light"/>
          <w:color w:val="000000"/>
          <w:sz w:val="18"/>
          <w:szCs w:val="18"/>
        </w:rPr>
        <w:t xml:space="preserve"> </w:t>
      </w:r>
      <w:r>
        <w:rPr>
          <w:rFonts w:ascii="CenturyStd-Light" w:hAnsi="CenturyStd-Light" w:cs="CenturyStd-Light"/>
          <w:color w:val="000000"/>
          <w:sz w:val="18"/>
          <w:szCs w:val="18"/>
        </w:rPr>
        <w:t>le terrain avait épuisé le besoin</w:t>
      </w:r>
      <w:r w:rsidR="001E011A">
        <w:rPr>
          <w:rFonts w:ascii="CenturyStd-Light" w:hAnsi="CenturyStd-Light" w:cs="CenturyStd-Light"/>
          <w:color w:val="000000"/>
          <w:sz w:val="18"/>
          <w:szCs w:val="18"/>
        </w:rPr>
        <w:t xml:space="preserve"> </w:t>
      </w:r>
      <w:r>
        <w:rPr>
          <w:rFonts w:ascii="CenturyStd-Light" w:hAnsi="CenturyStd-Light" w:cs="CenturyStd-Light"/>
          <w:color w:val="000000"/>
          <w:sz w:val="18"/>
          <w:szCs w:val="18"/>
        </w:rPr>
        <w:t>de déformation indispensable pour</w:t>
      </w:r>
      <w:r w:rsidR="001E011A">
        <w:rPr>
          <w:rFonts w:ascii="CenturyStd-Light" w:hAnsi="CenturyStd-Light" w:cs="CenturyStd-Light"/>
          <w:color w:val="000000"/>
          <w:sz w:val="18"/>
          <w:szCs w:val="18"/>
        </w:rPr>
        <w:t xml:space="preserve"> </w:t>
      </w:r>
      <w:r>
        <w:rPr>
          <w:rFonts w:ascii="CenturyStd-Light" w:hAnsi="CenturyStd-Light" w:cs="CenturyStd-Light"/>
          <w:color w:val="000000"/>
          <w:sz w:val="18"/>
          <w:szCs w:val="18"/>
        </w:rPr>
        <w:t>qu’il accepte la cavité. L’absence</w:t>
      </w:r>
      <w:r w:rsidR="001E011A">
        <w:rPr>
          <w:rFonts w:ascii="CenturyStd-Light" w:hAnsi="CenturyStd-Light" w:cs="CenturyStd-Light"/>
          <w:color w:val="000000"/>
          <w:sz w:val="18"/>
          <w:szCs w:val="18"/>
        </w:rPr>
        <w:t xml:space="preserve"> </w:t>
      </w:r>
      <w:r>
        <w:rPr>
          <w:rFonts w:ascii="CenturyStd-Light" w:hAnsi="CenturyStd-Light" w:cs="CenturyStd-Light"/>
          <w:color w:val="000000"/>
          <w:sz w:val="18"/>
          <w:szCs w:val="18"/>
        </w:rPr>
        <w:t>désormais de mines souterraines</w:t>
      </w:r>
      <w:r w:rsidR="001E011A">
        <w:rPr>
          <w:rFonts w:ascii="CenturyStd-Light" w:hAnsi="CenturyStd-Light" w:cs="CenturyStd-Light"/>
          <w:color w:val="000000"/>
          <w:sz w:val="18"/>
          <w:szCs w:val="18"/>
        </w:rPr>
        <w:t xml:space="preserve"> </w:t>
      </w:r>
      <w:r>
        <w:rPr>
          <w:rFonts w:ascii="CenturyStd-Light" w:hAnsi="CenturyStd-Light" w:cs="CenturyStd-Light"/>
          <w:color w:val="000000"/>
          <w:sz w:val="18"/>
          <w:szCs w:val="18"/>
        </w:rPr>
        <w:t>en France prive les étudiants de</w:t>
      </w:r>
      <w:r w:rsidR="001E011A">
        <w:rPr>
          <w:rFonts w:ascii="CenturyStd-Light" w:hAnsi="CenturyStd-Light" w:cs="CenturyStd-Light"/>
          <w:color w:val="000000"/>
          <w:sz w:val="18"/>
          <w:szCs w:val="18"/>
        </w:rPr>
        <w:t xml:space="preserve"> </w:t>
      </w:r>
      <w:r>
        <w:rPr>
          <w:rFonts w:ascii="CenturyStd-Light" w:hAnsi="CenturyStd-Light" w:cs="CenturyStd-Light"/>
          <w:color w:val="000000"/>
          <w:sz w:val="18"/>
          <w:szCs w:val="18"/>
        </w:rPr>
        <w:t>terrains d’acclimatation ; hors des</w:t>
      </w:r>
      <w:r w:rsidR="001E011A">
        <w:rPr>
          <w:rFonts w:ascii="CenturyStd-Light" w:hAnsi="CenturyStd-Light" w:cs="CenturyStd-Light"/>
          <w:color w:val="000000"/>
          <w:sz w:val="18"/>
          <w:szCs w:val="18"/>
        </w:rPr>
        <w:t xml:space="preserve"> </w:t>
      </w:r>
      <w:r>
        <w:rPr>
          <w:rFonts w:ascii="CenturyStd-Light" w:hAnsi="CenturyStd-Light" w:cs="CenturyStd-Light"/>
          <w:color w:val="000000"/>
          <w:sz w:val="18"/>
          <w:szCs w:val="18"/>
        </w:rPr>
        <w:t>Écoles des Mines, plus rien ne rappelle</w:t>
      </w:r>
      <w:r w:rsidR="001E011A">
        <w:rPr>
          <w:rFonts w:ascii="CenturyStd-Light" w:hAnsi="CenturyStd-Light" w:cs="CenturyStd-Light"/>
          <w:color w:val="000000"/>
          <w:sz w:val="18"/>
          <w:szCs w:val="18"/>
        </w:rPr>
        <w:t xml:space="preserve"> </w:t>
      </w:r>
      <w:r>
        <w:rPr>
          <w:rFonts w:ascii="CenturyStd-Light" w:hAnsi="CenturyStd-Light" w:cs="CenturyStd-Light"/>
          <w:color w:val="000000"/>
          <w:sz w:val="18"/>
          <w:szCs w:val="18"/>
        </w:rPr>
        <w:t>cette expérience qui a fondé</w:t>
      </w:r>
      <w:r w:rsidR="001E011A">
        <w:rPr>
          <w:rFonts w:ascii="CenturyStd-Light" w:hAnsi="CenturyStd-Light" w:cs="CenturyStd-Light"/>
          <w:color w:val="000000"/>
          <w:sz w:val="18"/>
          <w:szCs w:val="18"/>
        </w:rPr>
        <w:t xml:space="preserve"> </w:t>
      </w:r>
      <w:r>
        <w:rPr>
          <w:rFonts w:ascii="CenturyStd-Light" w:hAnsi="CenturyStd-Light" w:cs="CenturyStd-Light"/>
          <w:color w:val="000000"/>
          <w:sz w:val="18"/>
          <w:szCs w:val="18"/>
        </w:rPr>
        <w:t>la confiance des ingénieurs mineurs</w:t>
      </w:r>
      <w:r w:rsidR="001E011A">
        <w:rPr>
          <w:rFonts w:ascii="CenturyStd-Light" w:hAnsi="CenturyStd-Light" w:cs="CenturyStd-Light"/>
          <w:color w:val="000000"/>
          <w:sz w:val="18"/>
          <w:szCs w:val="18"/>
        </w:rPr>
        <w:t xml:space="preserve"> </w:t>
      </w:r>
      <w:r>
        <w:rPr>
          <w:rFonts w:ascii="CenturyStd-Light" w:hAnsi="CenturyStd-Light" w:cs="CenturyStd-Light"/>
          <w:color w:val="000000"/>
          <w:sz w:val="18"/>
          <w:szCs w:val="18"/>
        </w:rPr>
        <w:t>d’autrefois, sans même qu’ils en</w:t>
      </w:r>
      <w:r w:rsidR="001E011A">
        <w:rPr>
          <w:rFonts w:ascii="CenturyStd-Light" w:hAnsi="CenturyStd-Light" w:cs="CenturyStd-Light"/>
          <w:color w:val="000000"/>
          <w:sz w:val="18"/>
          <w:szCs w:val="18"/>
        </w:rPr>
        <w:t xml:space="preserve"> </w:t>
      </w:r>
      <w:r>
        <w:rPr>
          <w:rFonts w:ascii="CenturyStd-Light" w:hAnsi="CenturyStd-Light" w:cs="CenturyStd-Light"/>
          <w:color w:val="000000"/>
          <w:sz w:val="18"/>
          <w:szCs w:val="18"/>
        </w:rPr>
        <w:t>aient toujours eu conscience.</w:t>
      </w:r>
    </w:p>
    <w:p w14:paraId="7F4DA889" w14:textId="77777777" w:rsidR="00C10EB2" w:rsidRDefault="00C10EB2" w:rsidP="006B39E5">
      <w:pPr>
        <w:autoSpaceDE w:val="0"/>
        <w:autoSpaceDN w:val="0"/>
        <w:adjustRightInd w:val="0"/>
        <w:spacing w:after="0" w:line="240" w:lineRule="auto"/>
        <w:rPr>
          <w:rFonts w:ascii="CenturyStd-Light" w:hAnsi="CenturyStd-Light" w:cs="CenturyStd-Light"/>
          <w:color w:val="000000"/>
          <w:sz w:val="18"/>
          <w:szCs w:val="18"/>
        </w:rPr>
      </w:pPr>
    </w:p>
    <w:p w14:paraId="6147815C" w14:textId="77777777" w:rsidR="00C10EB2" w:rsidRDefault="001E011A" w:rsidP="006B39E5">
      <w:pPr>
        <w:autoSpaceDE w:val="0"/>
        <w:autoSpaceDN w:val="0"/>
        <w:adjustRightInd w:val="0"/>
        <w:spacing w:after="0" w:line="240" w:lineRule="auto"/>
        <w:rPr>
          <w:rFonts w:ascii="CenturyStd-Light" w:hAnsi="CenturyStd-Light" w:cs="CenturyStd-Light"/>
          <w:color w:val="000000"/>
          <w:sz w:val="18"/>
          <w:szCs w:val="18"/>
        </w:rPr>
      </w:pPr>
      <w:r>
        <w:rPr>
          <w:rFonts w:ascii="CenturyStd-Light" w:hAnsi="CenturyStd-Light" w:cs="CenturyStd-Light"/>
          <w:color w:val="000000"/>
          <w:sz w:val="18"/>
          <w:szCs w:val="18"/>
        </w:rPr>
        <w:tab/>
      </w:r>
      <w:r w:rsidR="006B39E5">
        <w:rPr>
          <w:rFonts w:ascii="CenturyStd-Light" w:hAnsi="CenturyStd-Light" w:cs="CenturyStd-Light"/>
          <w:color w:val="000000"/>
          <w:sz w:val="18"/>
          <w:szCs w:val="18"/>
        </w:rPr>
        <w:t>Le réacteur souterrain serait-il utopique</w:t>
      </w:r>
      <w:r>
        <w:rPr>
          <w:rFonts w:ascii="CenturyStd-Light" w:hAnsi="CenturyStd-Light" w:cs="CenturyStd-Light"/>
          <w:color w:val="000000"/>
          <w:sz w:val="18"/>
          <w:szCs w:val="18"/>
        </w:rPr>
        <w:t xml:space="preserve"> </w:t>
      </w:r>
      <w:r w:rsidR="006B39E5">
        <w:rPr>
          <w:rFonts w:ascii="CenturyStd-Light" w:hAnsi="CenturyStd-Light" w:cs="CenturyStd-Light"/>
          <w:color w:val="000000"/>
          <w:sz w:val="18"/>
          <w:szCs w:val="18"/>
        </w:rPr>
        <w:t>? Selon Benjamin Franklin et</w:t>
      </w:r>
      <w:r>
        <w:rPr>
          <w:rFonts w:ascii="CenturyStd-Light" w:hAnsi="CenturyStd-Light" w:cs="CenturyStd-Light"/>
          <w:color w:val="000000"/>
          <w:sz w:val="18"/>
          <w:szCs w:val="18"/>
        </w:rPr>
        <w:t xml:space="preserve"> </w:t>
      </w:r>
      <w:r w:rsidR="006B39E5">
        <w:rPr>
          <w:rFonts w:ascii="CenturyStd-Light" w:hAnsi="CenturyStd-Light" w:cs="CenturyStd-Light"/>
          <w:color w:val="000000"/>
          <w:sz w:val="18"/>
          <w:szCs w:val="18"/>
        </w:rPr>
        <w:t>Théodore Monod, notamment, l’utopie</w:t>
      </w:r>
      <w:r>
        <w:rPr>
          <w:rFonts w:ascii="CenturyStd-Light" w:hAnsi="CenturyStd-Light" w:cs="CenturyStd-Light"/>
          <w:color w:val="000000"/>
          <w:sz w:val="18"/>
          <w:szCs w:val="18"/>
        </w:rPr>
        <w:t xml:space="preserve"> </w:t>
      </w:r>
      <w:r w:rsidR="006B39E5">
        <w:rPr>
          <w:rFonts w:ascii="CenturyStd-Light" w:hAnsi="CenturyStd-Light" w:cs="CenturyStd-Light"/>
          <w:color w:val="000000"/>
          <w:sz w:val="18"/>
          <w:szCs w:val="18"/>
        </w:rPr>
        <w:t xml:space="preserve">est </w:t>
      </w:r>
      <w:r w:rsidR="006B39E5">
        <w:rPr>
          <w:rFonts w:ascii="CenturyStd-LightItalic" w:hAnsi="CenturyStd-LightItalic" w:cs="CenturyStd-LightItalic"/>
          <w:i/>
          <w:iCs/>
          <w:color w:val="000000"/>
          <w:sz w:val="18"/>
          <w:szCs w:val="18"/>
        </w:rPr>
        <w:t>« ce qui n’a pas encore</w:t>
      </w:r>
      <w:r>
        <w:rPr>
          <w:rFonts w:ascii="CenturyStd-LightItalic" w:hAnsi="CenturyStd-LightItalic" w:cs="CenturyStd-LightItalic"/>
          <w:i/>
          <w:iCs/>
          <w:color w:val="000000"/>
          <w:sz w:val="18"/>
          <w:szCs w:val="18"/>
        </w:rPr>
        <w:t xml:space="preserve"> </w:t>
      </w:r>
      <w:r w:rsidR="006B39E5">
        <w:rPr>
          <w:rFonts w:ascii="CenturyStd-LightItalic" w:hAnsi="CenturyStd-LightItalic" w:cs="CenturyStd-LightItalic"/>
          <w:i/>
          <w:iCs/>
          <w:color w:val="000000"/>
          <w:sz w:val="18"/>
          <w:szCs w:val="18"/>
        </w:rPr>
        <w:t xml:space="preserve">été essayé » </w:t>
      </w:r>
      <w:r w:rsidR="006B39E5">
        <w:rPr>
          <w:rFonts w:ascii="CenturyStd-Light" w:hAnsi="CenturyStd-Light" w:cs="CenturyStd-Light"/>
          <w:color w:val="000000"/>
          <w:sz w:val="18"/>
          <w:szCs w:val="18"/>
        </w:rPr>
        <w:t>; les réacteurs souterrains</w:t>
      </w:r>
      <w:r>
        <w:rPr>
          <w:rFonts w:ascii="CenturyStd-Light" w:hAnsi="CenturyStd-Light" w:cs="CenturyStd-Light"/>
          <w:color w:val="000000"/>
          <w:sz w:val="18"/>
          <w:szCs w:val="18"/>
        </w:rPr>
        <w:t xml:space="preserve"> </w:t>
      </w:r>
      <w:r w:rsidR="006B39E5">
        <w:rPr>
          <w:rFonts w:ascii="CenturyStd-Light" w:hAnsi="CenturyStd-Light" w:cs="CenturyStd-Light"/>
          <w:color w:val="000000"/>
          <w:sz w:val="18"/>
          <w:szCs w:val="18"/>
        </w:rPr>
        <w:t>on</w:t>
      </w:r>
      <w:r w:rsidR="00CB7AC6">
        <w:rPr>
          <w:rFonts w:ascii="CenturyStd-Light" w:hAnsi="CenturyStd-Light" w:cs="CenturyStd-Light"/>
          <w:color w:val="000000"/>
          <w:sz w:val="18"/>
          <w:szCs w:val="18"/>
        </w:rPr>
        <w:t xml:space="preserve"> </w:t>
      </w:r>
      <w:r w:rsidR="006B39E5">
        <w:rPr>
          <w:rFonts w:ascii="CenturyStd-Light" w:hAnsi="CenturyStd-Light" w:cs="CenturyStd-Light"/>
          <w:color w:val="000000"/>
          <w:sz w:val="18"/>
          <w:szCs w:val="18"/>
        </w:rPr>
        <w:t>(l’USS Nautilus date de</w:t>
      </w:r>
      <w:r w:rsidR="00CB7AC6">
        <w:rPr>
          <w:rFonts w:ascii="CenturyStd-Light" w:hAnsi="CenturyStd-Light" w:cs="CenturyStd-Light"/>
          <w:color w:val="000000"/>
          <w:sz w:val="18"/>
          <w:szCs w:val="18"/>
        </w:rPr>
        <w:t xml:space="preserve"> </w:t>
      </w:r>
      <w:r w:rsidR="006B39E5">
        <w:rPr>
          <w:rFonts w:ascii="CenturyStd-Light" w:hAnsi="CenturyStd-Light" w:cs="CenturyStd-Light"/>
          <w:color w:val="000000"/>
          <w:sz w:val="18"/>
          <w:szCs w:val="18"/>
        </w:rPr>
        <w:t>1955), ou de brise-glace (depuis le</w:t>
      </w:r>
      <w:r w:rsidR="00C10EB2">
        <w:rPr>
          <w:rFonts w:ascii="CenturyStd-Light" w:hAnsi="CenturyStd-Light" w:cs="CenturyStd-Light"/>
          <w:color w:val="000000"/>
          <w:sz w:val="18"/>
          <w:szCs w:val="18"/>
        </w:rPr>
        <w:t xml:space="preserve"> russe nommé Lénine, 1957).</w:t>
      </w:r>
    </w:p>
    <w:p w14:paraId="0F3A8E5A" w14:textId="77777777" w:rsidR="00C10EB2" w:rsidRDefault="00C10EB2" w:rsidP="006B39E5">
      <w:pPr>
        <w:autoSpaceDE w:val="0"/>
        <w:autoSpaceDN w:val="0"/>
        <w:adjustRightInd w:val="0"/>
        <w:spacing w:after="0" w:line="240" w:lineRule="auto"/>
        <w:rPr>
          <w:rFonts w:ascii="CenturyStd-Light" w:hAnsi="CenturyStd-Light" w:cs="CenturyStd-Light"/>
          <w:color w:val="000000"/>
          <w:sz w:val="18"/>
          <w:szCs w:val="18"/>
        </w:rPr>
      </w:pPr>
    </w:p>
    <w:p w14:paraId="5473C3B3" w14:textId="77777777" w:rsidR="006B39E5" w:rsidRDefault="006B39E5" w:rsidP="006B39E5">
      <w:pPr>
        <w:autoSpaceDE w:val="0"/>
        <w:autoSpaceDN w:val="0"/>
        <w:adjustRightInd w:val="0"/>
        <w:spacing w:after="0" w:line="240" w:lineRule="auto"/>
        <w:rPr>
          <w:rFonts w:ascii="CenturyStd-Light" w:hAnsi="CenturyStd-Light" w:cs="CenturyStd-Light"/>
          <w:color w:val="000000"/>
          <w:sz w:val="18"/>
          <w:szCs w:val="18"/>
        </w:rPr>
      </w:pPr>
      <w:r>
        <w:rPr>
          <w:rFonts w:ascii="CenturyStd-Light" w:hAnsi="CenturyStd-Light" w:cs="CenturyStd-Light"/>
          <w:color w:val="000000"/>
          <w:sz w:val="18"/>
          <w:szCs w:val="18"/>
        </w:rPr>
        <w:t>Après</w:t>
      </w:r>
      <w:r w:rsidR="00CB7AC6">
        <w:rPr>
          <w:rFonts w:ascii="CenturyStd-Light" w:hAnsi="CenturyStd-Light" w:cs="CenturyStd-Light"/>
          <w:color w:val="000000"/>
          <w:sz w:val="18"/>
          <w:szCs w:val="18"/>
        </w:rPr>
        <w:t xml:space="preserve"> </w:t>
      </w:r>
      <w:r>
        <w:rPr>
          <w:rFonts w:ascii="CenturyStd-Light" w:hAnsi="CenturyStd-Light" w:cs="CenturyStd-Light"/>
          <w:color w:val="000000"/>
          <w:sz w:val="18"/>
          <w:szCs w:val="18"/>
        </w:rPr>
        <w:t>avoir réussi hier à petite échelle,</w:t>
      </w:r>
      <w:r w:rsidR="00CB7AC6">
        <w:rPr>
          <w:rFonts w:ascii="CenturyStd-Light" w:hAnsi="CenturyStd-Light" w:cs="CenturyStd-Light"/>
          <w:color w:val="000000"/>
          <w:sz w:val="18"/>
          <w:szCs w:val="18"/>
        </w:rPr>
        <w:t xml:space="preserve"> </w:t>
      </w:r>
      <w:r>
        <w:rPr>
          <w:rFonts w:ascii="CenturyStd-Light" w:hAnsi="CenturyStd-Light" w:cs="CenturyStd-Light"/>
          <w:color w:val="000000"/>
          <w:sz w:val="18"/>
          <w:szCs w:val="18"/>
        </w:rPr>
        <w:t>essayons maintenant en vraie</w:t>
      </w:r>
      <w:r w:rsidR="00CB7AC6">
        <w:rPr>
          <w:rFonts w:ascii="CenturyStd-Light" w:hAnsi="CenturyStd-Light" w:cs="CenturyStd-Light"/>
          <w:color w:val="000000"/>
          <w:sz w:val="18"/>
          <w:szCs w:val="18"/>
        </w:rPr>
        <w:t xml:space="preserve">  </w:t>
      </w:r>
      <w:r>
        <w:rPr>
          <w:rFonts w:ascii="CenturyStd-Light" w:hAnsi="CenturyStd-Light" w:cs="CenturyStd-Light"/>
          <w:color w:val="000000"/>
          <w:sz w:val="18"/>
          <w:szCs w:val="18"/>
        </w:rPr>
        <w:t>grandeur !</w:t>
      </w:r>
    </w:p>
    <w:p w14:paraId="78277BEC" w14:textId="77777777" w:rsidR="00CB7AC6" w:rsidRDefault="00CB7AC6" w:rsidP="006B39E5">
      <w:pPr>
        <w:autoSpaceDE w:val="0"/>
        <w:autoSpaceDN w:val="0"/>
        <w:adjustRightInd w:val="0"/>
        <w:spacing w:after="0" w:line="240" w:lineRule="auto"/>
        <w:rPr>
          <w:rFonts w:ascii="CenturyStd-Light" w:hAnsi="CenturyStd-Light" w:cs="CenturyStd-Light"/>
          <w:color w:val="000000"/>
          <w:sz w:val="18"/>
          <w:szCs w:val="18"/>
        </w:rPr>
      </w:pPr>
    </w:p>
    <w:p w14:paraId="1DC9FB08" w14:textId="77777777" w:rsidR="006B39E5" w:rsidRPr="00CB7AC6" w:rsidRDefault="006B39E5" w:rsidP="006B39E5">
      <w:pPr>
        <w:autoSpaceDE w:val="0"/>
        <w:autoSpaceDN w:val="0"/>
        <w:adjustRightInd w:val="0"/>
        <w:spacing w:after="0" w:line="240" w:lineRule="auto"/>
        <w:rPr>
          <w:rFonts w:ascii="CenturyStd-Light" w:hAnsi="CenturyStd-Light" w:cs="CenturyStd-Light"/>
          <w:color w:val="000000"/>
          <w:sz w:val="16"/>
          <w:szCs w:val="14"/>
        </w:rPr>
      </w:pPr>
      <w:r w:rsidRPr="00CB7AC6">
        <w:rPr>
          <w:rFonts w:ascii="CenturyStd-Light" w:hAnsi="CenturyStd-Light" w:cs="CenturyStd-Light"/>
          <w:color w:val="000000"/>
          <w:sz w:val="16"/>
          <w:szCs w:val="14"/>
        </w:rPr>
        <w:t>Tableau 1 : liste schématique d’arguments pour et contre la mise en souterrain des réacteurs.</w:t>
      </w:r>
    </w:p>
    <w:tbl>
      <w:tblPr>
        <w:tblStyle w:val="Grille"/>
        <w:tblW w:w="0" w:type="auto"/>
        <w:tblLook w:val="04A0" w:firstRow="1" w:lastRow="0" w:firstColumn="1" w:lastColumn="0" w:noHBand="0" w:noVBand="1"/>
      </w:tblPr>
      <w:tblGrid>
        <w:gridCol w:w="4606"/>
        <w:gridCol w:w="4606"/>
      </w:tblGrid>
      <w:tr w:rsidR="00CB7AC6" w14:paraId="1ACC1BD4" w14:textId="77777777" w:rsidTr="00CB7AC6">
        <w:tc>
          <w:tcPr>
            <w:tcW w:w="4606" w:type="dxa"/>
          </w:tcPr>
          <w:p w14:paraId="68B023C4" w14:textId="77777777" w:rsidR="00CB7AC6" w:rsidRPr="00CB7AC6" w:rsidRDefault="00CB7AC6" w:rsidP="00CB7AC6">
            <w:pPr>
              <w:autoSpaceDE w:val="0"/>
              <w:autoSpaceDN w:val="0"/>
              <w:adjustRightInd w:val="0"/>
              <w:jc w:val="center"/>
              <w:rPr>
                <w:rFonts w:ascii="OpenSans-Extrabold" w:hAnsi="OpenSans-Extrabold" w:cs="OpenSans-Extrabold"/>
                <w:color w:val="000000"/>
                <w:sz w:val="17"/>
                <w:szCs w:val="17"/>
              </w:rPr>
            </w:pPr>
            <w:r>
              <w:rPr>
                <w:rFonts w:ascii="OpenSans-Extrabold" w:hAnsi="OpenSans-Extrabold" w:cs="OpenSans-Extrabold"/>
                <w:color w:val="000000"/>
                <w:sz w:val="17"/>
                <w:szCs w:val="17"/>
              </w:rPr>
              <w:t>Favorables</w:t>
            </w:r>
          </w:p>
        </w:tc>
        <w:tc>
          <w:tcPr>
            <w:tcW w:w="4606" w:type="dxa"/>
          </w:tcPr>
          <w:p w14:paraId="48590971" w14:textId="77777777" w:rsidR="00CB7AC6" w:rsidRPr="00CB7AC6" w:rsidRDefault="00CB7AC6" w:rsidP="00CB7AC6">
            <w:pPr>
              <w:autoSpaceDE w:val="0"/>
              <w:autoSpaceDN w:val="0"/>
              <w:adjustRightInd w:val="0"/>
              <w:jc w:val="center"/>
              <w:rPr>
                <w:rFonts w:ascii="OpenSans-Extrabold" w:hAnsi="OpenSans-Extrabold" w:cs="OpenSans-Extrabold"/>
                <w:color w:val="000000"/>
                <w:sz w:val="17"/>
                <w:szCs w:val="17"/>
              </w:rPr>
            </w:pPr>
            <w:r>
              <w:rPr>
                <w:rFonts w:ascii="OpenSans-Extrabold" w:hAnsi="OpenSans-Extrabold" w:cs="OpenSans-Extrabold"/>
                <w:color w:val="000000"/>
                <w:sz w:val="17"/>
                <w:szCs w:val="17"/>
              </w:rPr>
              <w:t>Défavorables</w:t>
            </w:r>
          </w:p>
        </w:tc>
      </w:tr>
      <w:tr w:rsidR="00CB7AC6" w:rsidRPr="002F0461" w14:paraId="0D492D0D" w14:textId="77777777" w:rsidTr="00CB7AC6">
        <w:tc>
          <w:tcPr>
            <w:tcW w:w="4606" w:type="dxa"/>
          </w:tcPr>
          <w:p w14:paraId="23545D73" w14:textId="77777777" w:rsidR="00CB7AC6" w:rsidRDefault="00CB7AC6" w:rsidP="00CB7AC6">
            <w:pPr>
              <w:autoSpaceDE w:val="0"/>
              <w:autoSpaceDN w:val="0"/>
              <w:adjustRightInd w:val="0"/>
              <w:rPr>
                <w:rFonts w:ascii="OpenSans-Extrabold" w:hAnsi="OpenSans-Extrabold" w:cs="OpenSans-Extrabold"/>
                <w:color w:val="000000"/>
                <w:sz w:val="17"/>
                <w:szCs w:val="17"/>
              </w:rPr>
            </w:pPr>
          </w:p>
          <w:p w14:paraId="7691B88D" w14:textId="77777777" w:rsidR="00CB7AC6" w:rsidRDefault="00CB7AC6" w:rsidP="00CB7AC6">
            <w:pPr>
              <w:autoSpaceDE w:val="0"/>
              <w:autoSpaceDN w:val="0"/>
              <w:adjustRightInd w:val="0"/>
              <w:rPr>
                <w:rFonts w:ascii="CenturyStd-Light" w:hAnsi="CenturyStd-Light" w:cs="CenturyStd-Light"/>
                <w:color w:val="000000"/>
                <w:sz w:val="18"/>
                <w:szCs w:val="18"/>
              </w:rPr>
            </w:pPr>
            <w:r>
              <w:rPr>
                <w:rFonts w:ascii="OpenSans-Bold" w:hAnsi="OpenSans-Bold" w:cs="OpenSans-Bold"/>
                <w:b/>
                <w:bCs/>
                <w:color w:val="FF3B45"/>
                <w:sz w:val="18"/>
                <w:szCs w:val="18"/>
              </w:rPr>
              <w:t>›</w:t>
            </w:r>
            <w:r>
              <w:rPr>
                <w:rFonts w:ascii="CenturyStd-Book" w:hAnsi="CenturyStd-Book" w:cs="CenturyStd-Book"/>
                <w:color w:val="FF3B45"/>
                <w:sz w:val="18"/>
                <w:szCs w:val="18"/>
              </w:rPr>
              <w:t xml:space="preserve">› </w:t>
            </w:r>
            <w:r>
              <w:rPr>
                <w:rFonts w:ascii="CenturyStd-Light" w:hAnsi="CenturyStd-Light" w:cs="CenturyStd-Light"/>
                <w:color w:val="000000"/>
                <w:sz w:val="18"/>
                <w:szCs w:val="18"/>
              </w:rPr>
              <w:t>Élimination des rejets radioactifs gazeux et/ou liquides en cas d’accidents internes graves.</w:t>
            </w:r>
          </w:p>
          <w:p w14:paraId="4F61E6C4" w14:textId="77777777" w:rsidR="00CB7AC6" w:rsidRDefault="00CB7AC6" w:rsidP="00CB7AC6">
            <w:pPr>
              <w:autoSpaceDE w:val="0"/>
              <w:autoSpaceDN w:val="0"/>
              <w:adjustRightInd w:val="0"/>
              <w:rPr>
                <w:rFonts w:ascii="CenturyStd-Light" w:hAnsi="CenturyStd-Light" w:cs="CenturyStd-Light"/>
                <w:color w:val="000000"/>
                <w:sz w:val="18"/>
                <w:szCs w:val="18"/>
              </w:rPr>
            </w:pPr>
            <w:r>
              <w:rPr>
                <w:rFonts w:ascii="OpenSans-Bold" w:hAnsi="OpenSans-Bold" w:cs="OpenSans-Bold"/>
                <w:b/>
                <w:bCs/>
                <w:color w:val="FF3B45"/>
                <w:sz w:val="18"/>
                <w:szCs w:val="18"/>
              </w:rPr>
              <w:t>›</w:t>
            </w:r>
            <w:r>
              <w:rPr>
                <w:rFonts w:ascii="CenturyStd-Book" w:hAnsi="CenturyStd-Book" w:cs="CenturyStd-Book"/>
                <w:color w:val="FF3B45"/>
                <w:sz w:val="18"/>
                <w:szCs w:val="18"/>
              </w:rPr>
              <w:t xml:space="preserve">› </w:t>
            </w:r>
            <w:r>
              <w:rPr>
                <w:rFonts w:ascii="CenturyStd-Light" w:hAnsi="CenturyStd-Light" w:cs="CenturyStd-Light"/>
                <w:color w:val="000000"/>
                <w:sz w:val="18"/>
                <w:szCs w:val="18"/>
              </w:rPr>
              <w:t>Quasi invulnérabilité face aux agressions humaines</w:t>
            </w:r>
          </w:p>
          <w:p w14:paraId="79DEDC9E" w14:textId="77777777" w:rsidR="00CB7AC6" w:rsidRDefault="00CB7AC6" w:rsidP="00CB7AC6">
            <w:pPr>
              <w:autoSpaceDE w:val="0"/>
              <w:autoSpaceDN w:val="0"/>
              <w:adjustRightInd w:val="0"/>
              <w:rPr>
                <w:rFonts w:ascii="CenturyStd-Light" w:hAnsi="CenturyStd-Light" w:cs="CenturyStd-Light"/>
                <w:color w:val="000000"/>
                <w:sz w:val="18"/>
                <w:szCs w:val="18"/>
              </w:rPr>
            </w:pPr>
            <w:r>
              <w:rPr>
                <w:rFonts w:ascii="CenturyStd-Light" w:hAnsi="CenturyStd-Light" w:cs="CenturyStd-Light"/>
                <w:color w:val="000000"/>
                <w:sz w:val="18"/>
                <w:szCs w:val="18"/>
              </w:rPr>
              <w:t>(terrorisme, chute d’avions, etc.) et atmosphériques (foudre, ouragans…).</w:t>
            </w:r>
          </w:p>
          <w:p w14:paraId="75C29D6B" w14:textId="77777777" w:rsidR="00CB7AC6" w:rsidRDefault="00CB7AC6" w:rsidP="00CB7AC6">
            <w:pPr>
              <w:autoSpaceDE w:val="0"/>
              <w:autoSpaceDN w:val="0"/>
              <w:adjustRightInd w:val="0"/>
              <w:rPr>
                <w:rFonts w:ascii="CenturyStd-Light" w:hAnsi="CenturyStd-Light" w:cs="CenturyStd-Light"/>
                <w:color w:val="000000"/>
                <w:sz w:val="18"/>
                <w:szCs w:val="18"/>
              </w:rPr>
            </w:pPr>
            <w:r>
              <w:rPr>
                <w:rFonts w:ascii="OpenSans-Bold" w:hAnsi="OpenSans-Bold" w:cs="OpenSans-Bold"/>
                <w:b/>
                <w:bCs/>
                <w:color w:val="FF3B45"/>
                <w:sz w:val="18"/>
                <w:szCs w:val="18"/>
              </w:rPr>
              <w:t>›</w:t>
            </w:r>
            <w:r>
              <w:rPr>
                <w:rFonts w:ascii="CenturyStd-Book" w:hAnsi="CenturyStd-Book" w:cs="CenturyStd-Book"/>
                <w:color w:val="FF3B45"/>
                <w:sz w:val="18"/>
                <w:szCs w:val="18"/>
              </w:rPr>
              <w:t xml:space="preserve">› </w:t>
            </w:r>
            <w:r>
              <w:rPr>
                <w:rFonts w:ascii="CenturyStd-Light" w:hAnsi="CenturyStd-Light" w:cs="CenturyStd-Light"/>
                <w:color w:val="000000"/>
                <w:sz w:val="18"/>
                <w:szCs w:val="18"/>
              </w:rPr>
              <w:t>Faible surface occupée au sol et indépendance relative</w:t>
            </w:r>
          </w:p>
          <w:p w14:paraId="461E142C" w14:textId="77777777" w:rsidR="00CB7AC6" w:rsidRDefault="00CB7AC6" w:rsidP="00CB7AC6">
            <w:pPr>
              <w:autoSpaceDE w:val="0"/>
              <w:autoSpaceDN w:val="0"/>
              <w:adjustRightInd w:val="0"/>
              <w:rPr>
                <w:rFonts w:ascii="CenturyStd-Light" w:hAnsi="CenturyStd-Light" w:cs="CenturyStd-Light"/>
                <w:color w:val="000000"/>
                <w:sz w:val="18"/>
                <w:szCs w:val="18"/>
              </w:rPr>
            </w:pPr>
            <w:r>
              <w:rPr>
                <w:rFonts w:ascii="CenturyStd-Light" w:hAnsi="CenturyStd-Light" w:cs="CenturyStd-Light"/>
                <w:color w:val="000000"/>
                <w:sz w:val="18"/>
                <w:szCs w:val="18"/>
              </w:rPr>
              <w:t>par rapport aux occupations du sol.</w:t>
            </w:r>
          </w:p>
          <w:p w14:paraId="0AF8B108" w14:textId="77777777" w:rsidR="00CB7AC6" w:rsidRDefault="00CB7AC6" w:rsidP="00CB7AC6">
            <w:pPr>
              <w:autoSpaceDE w:val="0"/>
              <w:autoSpaceDN w:val="0"/>
              <w:adjustRightInd w:val="0"/>
              <w:rPr>
                <w:rFonts w:ascii="CenturyStd-Light" w:hAnsi="CenturyStd-Light" w:cs="CenturyStd-Light"/>
                <w:color w:val="000000"/>
                <w:sz w:val="18"/>
                <w:szCs w:val="18"/>
              </w:rPr>
            </w:pPr>
            <w:r>
              <w:rPr>
                <w:rFonts w:ascii="OpenSans-Bold" w:hAnsi="OpenSans-Bold" w:cs="OpenSans-Bold"/>
                <w:b/>
                <w:bCs/>
                <w:color w:val="FF3B45"/>
                <w:sz w:val="18"/>
                <w:szCs w:val="18"/>
              </w:rPr>
              <w:t>›</w:t>
            </w:r>
            <w:r>
              <w:rPr>
                <w:rFonts w:ascii="CenturyStd-Book" w:hAnsi="CenturyStd-Book" w:cs="CenturyStd-Book"/>
                <w:color w:val="FF3B45"/>
                <w:sz w:val="18"/>
                <w:szCs w:val="18"/>
              </w:rPr>
              <w:t xml:space="preserve">› </w:t>
            </w:r>
            <w:r>
              <w:rPr>
                <w:rFonts w:ascii="CenturyStd-Light" w:hAnsi="CenturyStd-Light" w:cs="CenturyStd-Light"/>
                <w:color w:val="000000"/>
                <w:sz w:val="18"/>
                <w:szCs w:val="18"/>
              </w:rPr>
              <w:t>Grande facilité du contrôle d’accès.</w:t>
            </w:r>
          </w:p>
          <w:p w14:paraId="01AC399B" w14:textId="77777777" w:rsidR="00CB7AC6" w:rsidRDefault="00CB7AC6" w:rsidP="00CB7AC6">
            <w:pPr>
              <w:autoSpaceDE w:val="0"/>
              <w:autoSpaceDN w:val="0"/>
              <w:adjustRightInd w:val="0"/>
              <w:rPr>
                <w:rFonts w:ascii="CenturyStd-Light" w:hAnsi="CenturyStd-Light" w:cs="CenturyStd-Light"/>
                <w:color w:val="000000"/>
                <w:sz w:val="18"/>
                <w:szCs w:val="18"/>
              </w:rPr>
            </w:pPr>
            <w:r>
              <w:rPr>
                <w:rFonts w:ascii="OpenSans-Bold" w:hAnsi="OpenSans-Bold" w:cs="OpenSans-Bold"/>
                <w:b/>
                <w:bCs/>
                <w:color w:val="FF3B45"/>
                <w:sz w:val="18"/>
                <w:szCs w:val="18"/>
              </w:rPr>
              <w:t>›</w:t>
            </w:r>
            <w:r>
              <w:rPr>
                <w:rFonts w:ascii="CenturyStd-Book" w:hAnsi="CenturyStd-Book" w:cs="CenturyStd-Book"/>
                <w:color w:val="FF3B45"/>
                <w:sz w:val="18"/>
                <w:szCs w:val="18"/>
              </w:rPr>
              <w:t xml:space="preserve">› </w:t>
            </w:r>
            <w:r>
              <w:rPr>
                <w:rFonts w:ascii="CenturyStd-Light" w:hAnsi="CenturyStd-Light" w:cs="CenturyStd-Light"/>
                <w:color w:val="000000"/>
                <w:sz w:val="18"/>
                <w:szCs w:val="18"/>
              </w:rPr>
              <w:t>Excellente fondation rocheuse.</w:t>
            </w:r>
          </w:p>
          <w:p w14:paraId="472A9D8A" w14:textId="77777777" w:rsidR="00CB7AC6" w:rsidRDefault="00CB7AC6" w:rsidP="00CB7AC6">
            <w:pPr>
              <w:autoSpaceDE w:val="0"/>
              <w:autoSpaceDN w:val="0"/>
              <w:adjustRightInd w:val="0"/>
              <w:rPr>
                <w:rFonts w:ascii="CenturyStd-Light" w:hAnsi="CenturyStd-Light" w:cs="CenturyStd-Light"/>
                <w:color w:val="000000"/>
                <w:sz w:val="18"/>
                <w:szCs w:val="18"/>
              </w:rPr>
            </w:pPr>
            <w:r>
              <w:rPr>
                <w:rFonts w:ascii="OpenSans-Bold" w:hAnsi="OpenSans-Bold" w:cs="OpenSans-Bold"/>
                <w:b/>
                <w:bCs/>
                <w:color w:val="FF3B45"/>
                <w:sz w:val="18"/>
                <w:szCs w:val="18"/>
              </w:rPr>
              <w:t>›</w:t>
            </w:r>
            <w:r>
              <w:rPr>
                <w:rFonts w:ascii="CenturyStd-Book" w:hAnsi="CenturyStd-Book" w:cs="CenturyStd-Book"/>
                <w:color w:val="FF3B45"/>
                <w:sz w:val="18"/>
                <w:szCs w:val="18"/>
              </w:rPr>
              <w:t xml:space="preserve">› </w:t>
            </w:r>
            <w:r>
              <w:rPr>
                <w:rFonts w:ascii="CenturyStd-Light" w:hAnsi="CenturyStd-Light" w:cs="CenturyStd-Light"/>
                <w:color w:val="000000"/>
                <w:sz w:val="18"/>
                <w:szCs w:val="18"/>
              </w:rPr>
              <w:t>Élimination d’une précontrainte coûteuse.</w:t>
            </w:r>
          </w:p>
          <w:p w14:paraId="48EA93BF" w14:textId="77777777" w:rsidR="00CB7AC6" w:rsidRDefault="00CB7AC6" w:rsidP="00CB7AC6">
            <w:pPr>
              <w:autoSpaceDE w:val="0"/>
              <w:autoSpaceDN w:val="0"/>
              <w:adjustRightInd w:val="0"/>
              <w:rPr>
                <w:rFonts w:ascii="CenturyStd-Light" w:hAnsi="CenturyStd-Light" w:cs="CenturyStd-Light"/>
                <w:color w:val="000000"/>
                <w:sz w:val="18"/>
                <w:szCs w:val="18"/>
              </w:rPr>
            </w:pPr>
            <w:r>
              <w:rPr>
                <w:rFonts w:ascii="OpenSans-Bold" w:hAnsi="OpenSans-Bold" w:cs="OpenSans-Bold"/>
                <w:b/>
                <w:bCs/>
                <w:color w:val="FF3B45"/>
                <w:sz w:val="18"/>
                <w:szCs w:val="18"/>
              </w:rPr>
              <w:t>›</w:t>
            </w:r>
            <w:r>
              <w:rPr>
                <w:rFonts w:ascii="CenturyStd-Book" w:hAnsi="CenturyStd-Book" w:cs="CenturyStd-Book"/>
                <w:color w:val="FF3B45"/>
                <w:sz w:val="18"/>
                <w:szCs w:val="18"/>
              </w:rPr>
              <w:t xml:space="preserve">› </w:t>
            </w:r>
            <w:r>
              <w:rPr>
                <w:rFonts w:ascii="CenturyStd-Light" w:hAnsi="CenturyStd-Light" w:cs="CenturyStd-Light"/>
                <w:color w:val="000000"/>
                <w:sz w:val="18"/>
                <w:szCs w:val="18"/>
              </w:rPr>
              <w:t>Économies sur l’habillage extérieur.</w:t>
            </w:r>
          </w:p>
          <w:p w14:paraId="6A32E458" w14:textId="77777777" w:rsidR="00CB7AC6" w:rsidRDefault="00CB7AC6" w:rsidP="00CB7AC6">
            <w:pPr>
              <w:autoSpaceDE w:val="0"/>
              <w:autoSpaceDN w:val="0"/>
              <w:adjustRightInd w:val="0"/>
              <w:rPr>
                <w:rFonts w:ascii="CenturyStd-Light" w:hAnsi="CenturyStd-Light" w:cs="CenturyStd-Light"/>
                <w:color w:val="000000"/>
                <w:sz w:val="18"/>
                <w:szCs w:val="18"/>
              </w:rPr>
            </w:pPr>
            <w:r>
              <w:rPr>
                <w:rFonts w:ascii="OpenSans-Bold" w:hAnsi="OpenSans-Bold" w:cs="OpenSans-Bold"/>
                <w:b/>
                <w:bCs/>
                <w:color w:val="FF3B45"/>
                <w:sz w:val="18"/>
                <w:szCs w:val="18"/>
              </w:rPr>
              <w:t>›</w:t>
            </w:r>
            <w:r>
              <w:rPr>
                <w:rFonts w:ascii="CenturyStd-Book" w:hAnsi="CenturyStd-Book" w:cs="CenturyStd-Book"/>
                <w:color w:val="FF3B45"/>
                <w:sz w:val="18"/>
                <w:szCs w:val="18"/>
              </w:rPr>
              <w:t xml:space="preserve">› </w:t>
            </w:r>
            <w:r>
              <w:rPr>
                <w:rFonts w:ascii="CenturyStd-Light" w:hAnsi="CenturyStd-Light" w:cs="CenturyStd-Light"/>
                <w:color w:val="000000"/>
                <w:sz w:val="18"/>
                <w:szCs w:val="18"/>
              </w:rPr>
              <w:t>Élimination des ondes sismiques de surface.</w:t>
            </w:r>
          </w:p>
          <w:p w14:paraId="3D6EFBA1" w14:textId="77777777" w:rsidR="00CB7AC6" w:rsidRDefault="00CB7AC6" w:rsidP="00CB7AC6">
            <w:pPr>
              <w:autoSpaceDE w:val="0"/>
              <w:autoSpaceDN w:val="0"/>
              <w:adjustRightInd w:val="0"/>
              <w:rPr>
                <w:rFonts w:ascii="CenturyStd-Light" w:hAnsi="CenturyStd-Light" w:cs="CenturyStd-Light"/>
                <w:color w:val="000000"/>
                <w:sz w:val="18"/>
                <w:szCs w:val="18"/>
              </w:rPr>
            </w:pPr>
            <w:r>
              <w:rPr>
                <w:rFonts w:ascii="OpenSans-Bold" w:hAnsi="OpenSans-Bold" w:cs="OpenSans-Bold"/>
                <w:b/>
                <w:bCs/>
                <w:color w:val="FF3B45"/>
                <w:sz w:val="18"/>
                <w:szCs w:val="18"/>
              </w:rPr>
              <w:t>›</w:t>
            </w:r>
            <w:r>
              <w:rPr>
                <w:rFonts w:ascii="CenturyStd-Book" w:hAnsi="CenturyStd-Book" w:cs="CenturyStd-Book"/>
                <w:color w:val="FF3B45"/>
                <w:sz w:val="18"/>
                <w:szCs w:val="18"/>
              </w:rPr>
              <w:t xml:space="preserve">› </w:t>
            </w:r>
            <w:r>
              <w:rPr>
                <w:rFonts w:ascii="CenturyStd-Light" w:hAnsi="CenturyStd-Light" w:cs="CenturyStd-Light"/>
                <w:color w:val="000000"/>
                <w:sz w:val="18"/>
                <w:szCs w:val="18"/>
              </w:rPr>
              <w:t>Élimination possible d’enceinte en acier.</w:t>
            </w:r>
          </w:p>
          <w:p w14:paraId="65B82C66" w14:textId="77777777" w:rsidR="00CB7AC6" w:rsidRDefault="00CB7AC6" w:rsidP="00CB7AC6">
            <w:pPr>
              <w:autoSpaceDE w:val="0"/>
              <w:autoSpaceDN w:val="0"/>
              <w:adjustRightInd w:val="0"/>
              <w:rPr>
                <w:rFonts w:ascii="CenturyStd-Light" w:hAnsi="CenturyStd-Light" w:cs="CenturyStd-Light"/>
                <w:color w:val="000000"/>
                <w:sz w:val="18"/>
                <w:szCs w:val="18"/>
              </w:rPr>
            </w:pPr>
            <w:r>
              <w:rPr>
                <w:rFonts w:ascii="OpenSans-Bold" w:hAnsi="OpenSans-Bold" w:cs="OpenSans-Bold"/>
                <w:b/>
                <w:bCs/>
                <w:color w:val="FF3B45"/>
                <w:sz w:val="18"/>
                <w:szCs w:val="18"/>
              </w:rPr>
              <w:t>›</w:t>
            </w:r>
            <w:r>
              <w:rPr>
                <w:rFonts w:ascii="CenturyStd-Book" w:hAnsi="CenturyStd-Book" w:cs="CenturyStd-Book"/>
                <w:color w:val="FF3B45"/>
                <w:sz w:val="18"/>
                <w:szCs w:val="18"/>
              </w:rPr>
              <w:t xml:space="preserve">› </w:t>
            </w:r>
            <w:r>
              <w:rPr>
                <w:rFonts w:ascii="CenturyStd-Light" w:hAnsi="CenturyStd-Light" w:cs="CenturyStd-Light"/>
                <w:color w:val="000000"/>
                <w:sz w:val="18"/>
                <w:szCs w:val="18"/>
              </w:rPr>
              <w:t>Facilité d’arrosage par gravité en urgence.</w:t>
            </w:r>
          </w:p>
          <w:p w14:paraId="658C27E2" w14:textId="77777777" w:rsidR="00CB7AC6" w:rsidRDefault="00CB7AC6" w:rsidP="00CB7AC6">
            <w:pPr>
              <w:autoSpaceDE w:val="0"/>
              <w:autoSpaceDN w:val="0"/>
              <w:adjustRightInd w:val="0"/>
              <w:rPr>
                <w:rFonts w:ascii="CenturyStd-Light" w:hAnsi="CenturyStd-Light" w:cs="CenturyStd-Light"/>
                <w:color w:val="000000"/>
                <w:sz w:val="18"/>
                <w:szCs w:val="18"/>
              </w:rPr>
            </w:pPr>
            <w:r>
              <w:rPr>
                <w:rFonts w:ascii="OpenSans-Bold" w:hAnsi="OpenSans-Bold" w:cs="OpenSans-Bold"/>
                <w:b/>
                <w:bCs/>
                <w:color w:val="FF3B45"/>
                <w:sz w:val="18"/>
                <w:szCs w:val="18"/>
              </w:rPr>
              <w:t>›</w:t>
            </w:r>
            <w:r>
              <w:rPr>
                <w:rFonts w:ascii="CenturyStd-Book" w:hAnsi="CenturyStd-Book" w:cs="CenturyStd-Book"/>
                <w:color w:val="FF3B45"/>
                <w:sz w:val="18"/>
                <w:szCs w:val="18"/>
              </w:rPr>
              <w:t xml:space="preserve">› </w:t>
            </w:r>
            <w:r>
              <w:rPr>
                <w:rFonts w:ascii="CenturyStd-Light" w:hAnsi="CenturyStd-Light" w:cs="CenturyStd-Light"/>
                <w:color w:val="000000"/>
                <w:sz w:val="18"/>
                <w:szCs w:val="18"/>
              </w:rPr>
              <w:t>Moindre coût de fermeture et démantèlement.</w:t>
            </w:r>
          </w:p>
          <w:p w14:paraId="4CE2F958" w14:textId="77777777" w:rsidR="00CB7AC6" w:rsidRPr="00C10EB2" w:rsidRDefault="00CB7AC6" w:rsidP="006B39E5">
            <w:pPr>
              <w:autoSpaceDE w:val="0"/>
              <w:autoSpaceDN w:val="0"/>
              <w:adjustRightInd w:val="0"/>
              <w:rPr>
                <w:rFonts w:ascii="CenturyStd-Light" w:hAnsi="CenturyStd-Light" w:cs="CenturyStd-Light"/>
                <w:color w:val="000000"/>
                <w:sz w:val="18"/>
                <w:szCs w:val="18"/>
              </w:rPr>
            </w:pPr>
            <w:r>
              <w:rPr>
                <w:rFonts w:ascii="OpenSans-Bold" w:hAnsi="OpenSans-Bold" w:cs="OpenSans-Bold"/>
                <w:b/>
                <w:bCs/>
                <w:color w:val="FF3B45"/>
                <w:sz w:val="18"/>
                <w:szCs w:val="18"/>
              </w:rPr>
              <w:t>›</w:t>
            </w:r>
            <w:r>
              <w:rPr>
                <w:rFonts w:ascii="CenturyStd-Book" w:hAnsi="CenturyStd-Book" w:cs="CenturyStd-Book"/>
                <w:color w:val="FF3B45"/>
                <w:sz w:val="18"/>
                <w:szCs w:val="18"/>
              </w:rPr>
              <w:t xml:space="preserve">› </w:t>
            </w:r>
            <w:r w:rsidR="00C10EB2">
              <w:rPr>
                <w:rFonts w:ascii="CenturyStd-Light" w:hAnsi="CenturyStd-Light" w:cs="CenturyStd-Light"/>
                <w:color w:val="000000"/>
                <w:sz w:val="18"/>
                <w:szCs w:val="18"/>
              </w:rPr>
              <w:t>e</w:t>
            </w:r>
            <w:r>
              <w:rPr>
                <w:rFonts w:ascii="CenturyStd-Light" w:hAnsi="CenturyStd-Light" w:cs="CenturyStd-Light"/>
                <w:color w:val="000000"/>
                <w:sz w:val="18"/>
                <w:szCs w:val="18"/>
              </w:rPr>
              <w:t>tc.</w:t>
            </w:r>
            <w:bookmarkStart w:id="0" w:name="_GoBack"/>
            <w:bookmarkEnd w:id="0"/>
          </w:p>
        </w:tc>
        <w:tc>
          <w:tcPr>
            <w:tcW w:w="4606" w:type="dxa"/>
          </w:tcPr>
          <w:p w14:paraId="3A84828E" w14:textId="77777777" w:rsidR="00CB7AC6" w:rsidRDefault="00CB7AC6" w:rsidP="00CB7AC6">
            <w:pPr>
              <w:autoSpaceDE w:val="0"/>
              <w:autoSpaceDN w:val="0"/>
              <w:adjustRightInd w:val="0"/>
              <w:rPr>
                <w:rFonts w:ascii="OpenSans-Extrabold" w:hAnsi="OpenSans-Extrabold" w:cs="OpenSans-Extrabold"/>
                <w:color w:val="000000"/>
                <w:sz w:val="17"/>
                <w:szCs w:val="17"/>
              </w:rPr>
            </w:pPr>
          </w:p>
          <w:p w14:paraId="08915669" w14:textId="77777777" w:rsidR="00CB7AC6" w:rsidRDefault="00CB7AC6" w:rsidP="00CB7AC6">
            <w:pPr>
              <w:autoSpaceDE w:val="0"/>
              <w:autoSpaceDN w:val="0"/>
              <w:adjustRightInd w:val="0"/>
              <w:rPr>
                <w:rFonts w:ascii="CenturyStd-Light" w:hAnsi="CenturyStd-Light" w:cs="CenturyStd-Light"/>
                <w:color w:val="000000"/>
                <w:sz w:val="18"/>
                <w:szCs w:val="18"/>
              </w:rPr>
            </w:pPr>
            <w:r>
              <w:rPr>
                <w:rFonts w:ascii="OpenSans-Bold" w:hAnsi="OpenSans-Bold" w:cs="OpenSans-Bold"/>
                <w:b/>
                <w:bCs/>
                <w:color w:val="FF3B45"/>
                <w:sz w:val="18"/>
                <w:szCs w:val="18"/>
              </w:rPr>
              <w:t>›</w:t>
            </w:r>
            <w:r>
              <w:rPr>
                <w:rFonts w:ascii="CenturyStd-Book" w:hAnsi="CenturyStd-Book" w:cs="CenturyStd-Book"/>
                <w:color w:val="FF3B45"/>
                <w:sz w:val="18"/>
                <w:szCs w:val="18"/>
              </w:rPr>
              <w:t xml:space="preserve">› </w:t>
            </w:r>
            <w:r>
              <w:rPr>
                <w:rFonts w:ascii="CenturyStd-Light" w:hAnsi="CenturyStd-Light" w:cs="CenturyStd-Light"/>
                <w:color w:val="000000"/>
                <w:sz w:val="18"/>
                <w:szCs w:val="18"/>
              </w:rPr>
              <w:t>Augmentation du coût et du délai de construction.</w:t>
            </w:r>
          </w:p>
          <w:p w14:paraId="4AAC9EEF" w14:textId="77777777" w:rsidR="00CB7AC6" w:rsidRDefault="00CB7AC6" w:rsidP="00CB7AC6">
            <w:pPr>
              <w:autoSpaceDE w:val="0"/>
              <w:autoSpaceDN w:val="0"/>
              <w:adjustRightInd w:val="0"/>
              <w:rPr>
                <w:rFonts w:ascii="CenturyStd-Light" w:hAnsi="CenturyStd-Light" w:cs="CenturyStd-Light"/>
                <w:color w:val="000000"/>
                <w:sz w:val="18"/>
                <w:szCs w:val="18"/>
              </w:rPr>
            </w:pPr>
            <w:r>
              <w:rPr>
                <w:rFonts w:ascii="OpenSans-Bold" w:hAnsi="OpenSans-Bold" w:cs="OpenSans-Bold"/>
                <w:b/>
                <w:bCs/>
                <w:color w:val="FF3B45"/>
                <w:sz w:val="18"/>
                <w:szCs w:val="18"/>
              </w:rPr>
              <w:t>›</w:t>
            </w:r>
            <w:r>
              <w:rPr>
                <w:rFonts w:ascii="CenturyStd-Book" w:hAnsi="CenturyStd-Book" w:cs="CenturyStd-Book"/>
                <w:color w:val="FF3B45"/>
                <w:sz w:val="18"/>
                <w:szCs w:val="18"/>
              </w:rPr>
              <w:t xml:space="preserve">› </w:t>
            </w:r>
            <w:r>
              <w:rPr>
                <w:rFonts w:ascii="CenturyStd-Light" w:hAnsi="CenturyStd-Light" w:cs="CenturyStd-Light"/>
                <w:color w:val="000000"/>
                <w:sz w:val="18"/>
                <w:szCs w:val="18"/>
              </w:rPr>
              <w:t>I</w:t>
            </w:r>
            <w:r w:rsidR="00C10EB2">
              <w:rPr>
                <w:rFonts w:ascii="CenturyStd-Light" w:hAnsi="CenturyStd-Light" w:cs="CenturyStd-Light"/>
                <w:color w:val="000000"/>
                <w:sz w:val="18"/>
                <w:szCs w:val="18"/>
              </w:rPr>
              <w:t>ncertitude du fait de surprises</w:t>
            </w:r>
            <w:r>
              <w:rPr>
                <w:rFonts w:ascii="CenturyStd-Light" w:hAnsi="CenturyStd-Light" w:cs="CenturyStd-Light"/>
                <w:color w:val="000000"/>
                <w:sz w:val="18"/>
                <w:szCs w:val="18"/>
              </w:rPr>
              <w:t xml:space="preserve"> géologiques.</w:t>
            </w:r>
          </w:p>
          <w:p w14:paraId="5B5A17C8" w14:textId="77777777" w:rsidR="00CB7AC6" w:rsidRDefault="00CB7AC6" w:rsidP="00CB7AC6">
            <w:pPr>
              <w:autoSpaceDE w:val="0"/>
              <w:autoSpaceDN w:val="0"/>
              <w:adjustRightInd w:val="0"/>
              <w:rPr>
                <w:rFonts w:ascii="CenturyStd-Light" w:hAnsi="CenturyStd-Light" w:cs="CenturyStd-Light"/>
                <w:color w:val="000000"/>
                <w:sz w:val="18"/>
                <w:szCs w:val="18"/>
              </w:rPr>
            </w:pPr>
            <w:r>
              <w:rPr>
                <w:rFonts w:ascii="OpenSans-Bold" w:hAnsi="OpenSans-Bold" w:cs="OpenSans-Bold"/>
                <w:b/>
                <w:bCs/>
                <w:color w:val="FF3B45"/>
                <w:sz w:val="18"/>
                <w:szCs w:val="18"/>
              </w:rPr>
              <w:t>›</w:t>
            </w:r>
            <w:r>
              <w:rPr>
                <w:rFonts w:ascii="CenturyStd-Book" w:hAnsi="CenturyStd-Book" w:cs="CenturyStd-Book"/>
                <w:color w:val="FF3B45"/>
                <w:sz w:val="18"/>
                <w:szCs w:val="18"/>
              </w:rPr>
              <w:t xml:space="preserve">› </w:t>
            </w:r>
            <w:r>
              <w:rPr>
                <w:rFonts w:ascii="CenturyStd-Light" w:hAnsi="CenturyStd-Light" w:cs="CenturyStd-Light"/>
                <w:color w:val="000000"/>
                <w:sz w:val="18"/>
                <w:szCs w:val="18"/>
              </w:rPr>
              <w:t>Difficulté à identifier des sites concrets.</w:t>
            </w:r>
          </w:p>
          <w:p w14:paraId="2A4F2F25" w14:textId="77777777" w:rsidR="00CB7AC6" w:rsidRDefault="00CB7AC6" w:rsidP="00CB7AC6">
            <w:pPr>
              <w:autoSpaceDE w:val="0"/>
              <w:autoSpaceDN w:val="0"/>
              <w:adjustRightInd w:val="0"/>
              <w:rPr>
                <w:rFonts w:ascii="CenturyStd-Light" w:hAnsi="CenturyStd-Light" w:cs="CenturyStd-Light"/>
                <w:color w:val="000000"/>
                <w:sz w:val="18"/>
                <w:szCs w:val="18"/>
              </w:rPr>
            </w:pPr>
            <w:r>
              <w:rPr>
                <w:rFonts w:ascii="OpenSans-Bold" w:hAnsi="OpenSans-Bold" w:cs="OpenSans-Bold"/>
                <w:b/>
                <w:bCs/>
                <w:color w:val="FF3B45"/>
                <w:sz w:val="18"/>
                <w:szCs w:val="18"/>
              </w:rPr>
              <w:t>›</w:t>
            </w:r>
            <w:r>
              <w:rPr>
                <w:rFonts w:ascii="CenturyStd-Book" w:hAnsi="CenturyStd-Book" w:cs="CenturyStd-Book"/>
                <w:color w:val="FF3B45"/>
                <w:sz w:val="18"/>
                <w:szCs w:val="18"/>
              </w:rPr>
              <w:t xml:space="preserve">› </w:t>
            </w:r>
            <w:r>
              <w:rPr>
                <w:rFonts w:ascii="CenturyStd-Light" w:hAnsi="CenturyStd-Light" w:cs="CenturyStd-Light"/>
                <w:color w:val="000000"/>
                <w:sz w:val="18"/>
                <w:szCs w:val="18"/>
              </w:rPr>
              <w:t>Difficulté et coût des démarches pour obtenir le licenciement d’une formule nouvelle.</w:t>
            </w:r>
          </w:p>
          <w:p w14:paraId="3AD06FF7" w14:textId="77777777" w:rsidR="00CB7AC6" w:rsidRDefault="00CB7AC6" w:rsidP="00CB7AC6">
            <w:pPr>
              <w:autoSpaceDE w:val="0"/>
              <w:autoSpaceDN w:val="0"/>
              <w:adjustRightInd w:val="0"/>
              <w:rPr>
                <w:rFonts w:ascii="CenturyStd-Light" w:hAnsi="CenturyStd-Light" w:cs="CenturyStd-Light"/>
                <w:color w:val="000000"/>
                <w:sz w:val="18"/>
                <w:szCs w:val="18"/>
              </w:rPr>
            </w:pPr>
            <w:r>
              <w:rPr>
                <w:rFonts w:ascii="OpenSans-Bold" w:hAnsi="OpenSans-Bold" w:cs="OpenSans-Bold"/>
                <w:b/>
                <w:bCs/>
                <w:color w:val="FF3B45"/>
                <w:sz w:val="18"/>
                <w:szCs w:val="18"/>
              </w:rPr>
              <w:t>›</w:t>
            </w:r>
            <w:r>
              <w:rPr>
                <w:rFonts w:ascii="CenturyStd-Book" w:hAnsi="CenturyStd-Book" w:cs="CenturyStd-Book"/>
                <w:color w:val="FF3B45"/>
                <w:sz w:val="18"/>
                <w:szCs w:val="18"/>
              </w:rPr>
              <w:t xml:space="preserve">› </w:t>
            </w:r>
            <w:r>
              <w:rPr>
                <w:rFonts w:ascii="CenturyStd-Light" w:hAnsi="CenturyStd-Light" w:cs="CenturyStd-Light"/>
                <w:color w:val="000000"/>
                <w:sz w:val="18"/>
                <w:szCs w:val="18"/>
              </w:rPr>
              <w:t>Tendance du projeteur à maximiser</w:t>
            </w:r>
            <w:r w:rsidR="00C10EB2">
              <w:rPr>
                <w:rFonts w:ascii="CenturyStd-Light" w:hAnsi="CenturyStd-Light" w:cs="CenturyStd-Light"/>
                <w:color w:val="000000"/>
                <w:sz w:val="18"/>
                <w:szCs w:val="18"/>
              </w:rPr>
              <w:t xml:space="preserve"> </w:t>
            </w:r>
            <w:r>
              <w:rPr>
                <w:rFonts w:ascii="CenturyStd-Light" w:hAnsi="CenturyStd-Light" w:cs="CenturyStd-Light"/>
                <w:color w:val="000000"/>
                <w:sz w:val="18"/>
                <w:szCs w:val="18"/>
              </w:rPr>
              <w:t>les surcoûts et incapacité à bénéficier des avantages.</w:t>
            </w:r>
          </w:p>
          <w:p w14:paraId="6964222E" w14:textId="77777777" w:rsidR="00CB7AC6" w:rsidRDefault="00CB7AC6" w:rsidP="00CB7AC6">
            <w:pPr>
              <w:autoSpaceDE w:val="0"/>
              <w:autoSpaceDN w:val="0"/>
              <w:adjustRightInd w:val="0"/>
              <w:rPr>
                <w:rFonts w:ascii="CenturyStd-Light" w:hAnsi="CenturyStd-Light" w:cs="CenturyStd-Light"/>
                <w:color w:val="000000"/>
                <w:sz w:val="18"/>
                <w:szCs w:val="18"/>
              </w:rPr>
            </w:pPr>
            <w:r>
              <w:rPr>
                <w:rFonts w:ascii="OpenSans-Bold" w:hAnsi="OpenSans-Bold" w:cs="OpenSans-Bold"/>
                <w:b/>
                <w:bCs/>
                <w:color w:val="FF3B45"/>
                <w:sz w:val="18"/>
                <w:szCs w:val="18"/>
              </w:rPr>
              <w:t>›</w:t>
            </w:r>
            <w:r>
              <w:rPr>
                <w:rFonts w:ascii="CenturyStd-Book" w:hAnsi="CenturyStd-Book" w:cs="CenturyStd-Book"/>
                <w:color w:val="FF3B45"/>
                <w:sz w:val="18"/>
                <w:szCs w:val="18"/>
              </w:rPr>
              <w:t xml:space="preserve">› </w:t>
            </w:r>
            <w:r w:rsidR="00C10EB2">
              <w:rPr>
                <w:rFonts w:ascii="CenturyStd-Light" w:hAnsi="CenturyStd-Light" w:cs="CenturyStd-Light"/>
                <w:color w:val="000000"/>
                <w:sz w:val="18"/>
                <w:szCs w:val="18"/>
              </w:rPr>
              <w:t>Difficulté d’intervention.</w:t>
            </w:r>
          </w:p>
          <w:p w14:paraId="41803B8B" w14:textId="77777777" w:rsidR="00CB7AC6" w:rsidRDefault="00CB7AC6" w:rsidP="00CB7AC6">
            <w:pPr>
              <w:autoSpaceDE w:val="0"/>
              <w:autoSpaceDN w:val="0"/>
              <w:adjustRightInd w:val="0"/>
              <w:rPr>
                <w:rFonts w:ascii="CenturyStd-Light" w:hAnsi="CenturyStd-Light" w:cs="CenturyStd-Light"/>
                <w:color w:val="000000"/>
                <w:sz w:val="18"/>
                <w:szCs w:val="18"/>
              </w:rPr>
            </w:pPr>
            <w:r>
              <w:rPr>
                <w:rFonts w:ascii="OpenSans-Bold" w:hAnsi="OpenSans-Bold" w:cs="OpenSans-Bold"/>
                <w:b/>
                <w:bCs/>
                <w:color w:val="FF3B45"/>
                <w:sz w:val="18"/>
                <w:szCs w:val="18"/>
              </w:rPr>
              <w:t>›</w:t>
            </w:r>
            <w:r>
              <w:rPr>
                <w:rFonts w:ascii="CenturyStd-Book" w:hAnsi="CenturyStd-Book" w:cs="CenturyStd-Book"/>
                <w:color w:val="FF3B45"/>
                <w:sz w:val="18"/>
                <w:szCs w:val="18"/>
              </w:rPr>
              <w:t xml:space="preserve">› </w:t>
            </w:r>
            <w:r>
              <w:rPr>
                <w:rFonts w:ascii="CenturyStd-Light" w:hAnsi="CenturyStd-Light" w:cs="CenturyStd-Light"/>
                <w:color w:val="000000"/>
                <w:sz w:val="18"/>
                <w:szCs w:val="18"/>
              </w:rPr>
              <w:t>Crainte que la pression du public</w:t>
            </w:r>
            <w:r w:rsidR="002F0461">
              <w:rPr>
                <w:rFonts w:ascii="CenturyStd-Light" w:hAnsi="CenturyStd-Light" w:cs="CenturyStd-Light"/>
                <w:color w:val="000000"/>
                <w:sz w:val="18"/>
                <w:szCs w:val="18"/>
              </w:rPr>
              <w:t xml:space="preserve"> </w:t>
            </w:r>
            <w:r>
              <w:rPr>
                <w:rFonts w:ascii="CenturyStd-Light" w:hAnsi="CenturyStd-Light" w:cs="CenturyStd-Light"/>
                <w:color w:val="000000"/>
                <w:sz w:val="18"/>
                <w:szCs w:val="18"/>
              </w:rPr>
              <w:t>exige que tout réacteur soit</w:t>
            </w:r>
            <w:r w:rsidR="002F0461">
              <w:rPr>
                <w:rFonts w:ascii="CenturyStd-Light" w:hAnsi="CenturyStd-Light" w:cs="CenturyStd-Light"/>
                <w:color w:val="000000"/>
                <w:sz w:val="18"/>
                <w:szCs w:val="18"/>
              </w:rPr>
              <w:t xml:space="preserve"> </w:t>
            </w:r>
            <w:r>
              <w:rPr>
                <w:rFonts w:ascii="CenturyStd-Light" w:hAnsi="CenturyStd-Light" w:cs="CenturyStd-Light"/>
                <w:color w:val="000000"/>
                <w:sz w:val="18"/>
                <w:szCs w:val="18"/>
              </w:rPr>
              <w:t>souterrain.</w:t>
            </w:r>
          </w:p>
          <w:p w14:paraId="6F790E7F" w14:textId="77777777" w:rsidR="00CB7AC6" w:rsidRDefault="00CB7AC6" w:rsidP="00CB7AC6">
            <w:pPr>
              <w:autoSpaceDE w:val="0"/>
              <w:autoSpaceDN w:val="0"/>
              <w:adjustRightInd w:val="0"/>
              <w:rPr>
                <w:rFonts w:ascii="CenturyStd-Light" w:hAnsi="CenturyStd-Light" w:cs="CenturyStd-Light"/>
                <w:color w:val="000000"/>
                <w:sz w:val="18"/>
                <w:szCs w:val="18"/>
              </w:rPr>
            </w:pPr>
            <w:r>
              <w:rPr>
                <w:rFonts w:ascii="OpenSans-Bold" w:hAnsi="OpenSans-Bold" w:cs="OpenSans-Bold"/>
                <w:b/>
                <w:bCs/>
                <w:color w:val="FF3B45"/>
                <w:sz w:val="18"/>
                <w:szCs w:val="18"/>
              </w:rPr>
              <w:t>›</w:t>
            </w:r>
            <w:r>
              <w:rPr>
                <w:rFonts w:ascii="CenturyStd-Book" w:hAnsi="CenturyStd-Book" w:cs="CenturyStd-Book"/>
                <w:color w:val="FF3B45"/>
                <w:sz w:val="18"/>
                <w:szCs w:val="18"/>
              </w:rPr>
              <w:t xml:space="preserve">› </w:t>
            </w:r>
            <w:r>
              <w:rPr>
                <w:rFonts w:ascii="CenturyStd-Light" w:hAnsi="CenturyStd-Light" w:cs="CenturyStd-Light"/>
                <w:color w:val="000000"/>
                <w:sz w:val="18"/>
                <w:szCs w:val="18"/>
              </w:rPr>
              <w:t>Difficulté à justifier la stabilité</w:t>
            </w:r>
            <w:r w:rsidR="002F0461">
              <w:rPr>
                <w:rFonts w:ascii="CenturyStd-Light" w:hAnsi="CenturyStd-Light" w:cs="CenturyStd-Light"/>
                <w:color w:val="000000"/>
                <w:sz w:val="18"/>
                <w:szCs w:val="18"/>
              </w:rPr>
              <w:t xml:space="preserve"> </w:t>
            </w:r>
            <w:r>
              <w:rPr>
                <w:rFonts w:ascii="CenturyStd-Light" w:hAnsi="CenturyStd-Light" w:cs="CenturyStd-Light"/>
                <w:color w:val="000000"/>
                <w:sz w:val="18"/>
                <w:szCs w:val="18"/>
              </w:rPr>
              <w:t>par le calcul comme on sait faire</w:t>
            </w:r>
            <w:r w:rsidR="002F0461">
              <w:rPr>
                <w:rFonts w:ascii="CenturyStd-Light" w:hAnsi="CenturyStd-Light" w:cs="CenturyStd-Light"/>
                <w:color w:val="000000"/>
                <w:sz w:val="18"/>
                <w:szCs w:val="18"/>
              </w:rPr>
              <w:t xml:space="preserve"> </w:t>
            </w:r>
            <w:r>
              <w:rPr>
                <w:rFonts w:ascii="CenturyStd-Light" w:hAnsi="CenturyStd-Light" w:cs="CenturyStd-Light"/>
                <w:color w:val="000000"/>
                <w:sz w:val="18"/>
                <w:szCs w:val="18"/>
              </w:rPr>
              <w:t>en génie civil.</w:t>
            </w:r>
          </w:p>
          <w:p w14:paraId="122E1786" w14:textId="77777777" w:rsidR="00CB7AC6" w:rsidRPr="002F0461" w:rsidRDefault="00CB7AC6" w:rsidP="006B39E5">
            <w:pPr>
              <w:autoSpaceDE w:val="0"/>
              <w:autoSpaceDN w:val="0"/>
              <w:adjustRightInd w:val="0"/>
              <w:rPr>
                <w:rFonts w:ascii="Pacifico-Regular" w:hAnsi="Pacifico-Regular" w:cs="Pacifico-Regular"/>
                <w:color w:val="000000"/>
                <w:sz w:val="30"/>
                <w:szCs w:val="30"/>
              </w:rPr>
            </w:pPr>
          </w:p>
        </w:tc>
      </w:tr>
    </w:tbl>
    <w:p w14:paraId="4B51F622" w14:textId="77777777" w:rsidR="00CB7AC6" w:rsidRPr="002F0461" w:rsidRDefault="00CB7AC6" w:rsidP="006B39E5">
      <w:pPr>
        <w:autoSpaceDE w:val="0"/>
        <w:autoSpaceDN w:val="0"/>
        <w:adjustRightInd w:val="0"/>
        <w:spacing w:after="0" w:line="240" w:lineRule="auto"/>
        <w:rPr>
          <w:rFonts w:ascii="Pacifico-Regular" w:hAnsi="Pacifico-Regular" w:cs="Pacifico-Regular"/>
          <w:color w:val="000000"/>
          <w:sz w:val="30"/>
          <w:szCs w:val="30"/>
        </w:rPr>
      </w:pPr>
    </w:p>
    <w:sectPr w:rsidR="00CB7AC6" w:rsidRPr="002F0461" w:rsidSect="008D121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OpenSans-Extrabold">
    <w:altName w:val="Cambria"/>
    <w:panose1 w:val="00000000000000000000"/>
    <w:charset w:val="00"/>
    <w:family w:val="auto"/>
    <w:notTrueType/>
    <w:pitch w:val="default"/>
    <w:sig w:usb0="00000003" w:usb1="00000000" w:usb2="00000000" w:usb3="00000000" w:csb0="00000001" w:csb1="00000000"/>
  </w:font>
  <w:font w:name="CenturyStd-Bold">
    <w:altName w:val="Cambria"/>
    <w:panose1 w:val="00000000000000000000"/>
    <w:charset w:val="00"/>
    <w:family w:val="roman"/>
    <w:notTrueType/>
    <w:pitch w:val="default"/>
    <w:sig w:usb0="00000003" w:usb1="00000000" w:usb2="00000000" w:usb3="00000000" w:csb0="00000001" w:csb1="00000000"/>
  </w:font>
  <w:font w:name="CenturyStd-Book">
    <w:altName w:val="Cambria"/>
    <w:panose1 w:val="00000000000000000000"/>
    <w:charset w:val="00"/>
    <w:family w:val="roman"/>
    <w:notTrueType/>
    <w:pitch w:val="default"/>
    <w:sig w:usb0="00000003" w:usb1="00000000" w:usb2="00000000" w:usb3="00000000" w:csb0="00000001" w:csb1="00000000"/>
  </w:font>
  <w:font w:name="OpenSans-Light">
    <w:altName w:val="Cambria"/>
    <w:panose1 w:val="00000000000000000000"/>
    <w:charset w:val="00"/>
    <w:family w:val="swiss"/>
    <w:notTrueType/>
    <w:pitch w:val="default"/>
    <w:sig w:usb0="00000003" w:usb1="00000000" w:usb2="00000000" w:usb3="00000000" w:csb0="00000001" w:csb1="00000000"/>
  </w:font>
  <w:font w:name="CenturyStd-LightItalic">
    <w:altName w:val="Cambria"/>
    <w:panose1 w:val="00000000000000000000"/>
    <w:charset w:val="00"/>
    <w:family w:val="roman"/>
    <w:notTrueType/>
    <w:pitch w:val="default"/>
    <w:sig w:usb0="00000003" w:usb1="00000000" w:usb2="00000000" w:usb3="00000000" w:csb0="00000001" w:csb1="00000000"/>
  </w:font>
  <w:font w:name="Pacifico-Regular">
    <w:altName w:val="Cambria"/>
    <w:panose1 w:val="00000000000000000000"/>
    <w:charset w:val="00"/>
    <w:family w:val="roman"/>
    <w:notTrueType/>
    <w:pitch w:val="default"/>
    <w:sig w:usb0="00000003" w:usb1="00000000" w:usb2="00000000" w:usb3="00000000" w:csb0="00000001" w:csb1="00000000"/>
  </w:font>
  <w:font w:name="OpenSans-Regular">
    <w:altName w:val="Cambria"/>
    <w:panose1 w:val="00000000000000000000"/>
    <w:charset w:val="00"/>
    <w:family w:val="auto"/>
    <w:notTrueType/>
    <w:pitch w:val="default"/>
    <w:sig w:usb0="00000003" w:usb1="00000000" w:usb2="00000000" w:usb3="00000000" w:csb0="00000001" w:csb1="00000000"/>
  </w:font>
  <w:font w:name="CenturyStd-Light">
    <w:altName w:val="Cambria"/>
    <w:panose1 w:val="00000000000000000000"/>
    <w:charset w:val="00"/>
    <w:family w:val="roman"/>
    <w:notTrueType/>
    <w:pitch w:val="default"/>
    <w:sig w:usb0="00000003" w:usb1="00000000" w:usb2="00000000" w:usb3="00000000" w:csb0="00000001" w:csb1="00000000"/>
  </w:font>
  <w:font w:name="Sosa-Regular">
    <w:altName w:val="Cambria"/>
    <w:panose1 w:val="00000000000000000000"/>
    <w:charset w:val="00"/>
    <w:family w:val="swiss"/>
    <w:notTrueType/>
    <w:pitch w:val="default"/>
    <w:sig w:usb0="00000003" w:usb1="00000000" w:usb2="00000000" w:usb3="00000000" w:csb0="00000001" w:csb1="00000000"/>
  </w:font>
  <w:font w:name="OpenSans-Bold">
    <w:altName w:val="Cambria"/>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hyphenationZone w:val="425"/>
  <w:characterSpacingControl w:val="doNotCompress"/>
  <w:compat>
    <w:compatSetting w:name="compatibilityMode" w:uri="http://schemas.microsoft.com/office/word" w:val="12"/>
  </w:compat>
  <w:rsids>
    <w:rsidRoot w:val="00F02441"/>
    <w:rsid w:val="000665E4"/>
    <w:rsid w:val="00150CE1"/>
    <w:rsid w:val="001E011A"/>
    <w:rsid w:val="00230458"/>
    <w:rsid w:val="00250DA6"/>
    <w:rsid w:val="002710CC"/>
    <w:rsid w:val="002F0461"/>
    <w:rsid w:val="003659F7"/>
    <w:rsid w:val="003975B5"/>
    <w:rsid w:val="004E5A24"/>
    <w:rsid w:val="004E6209"/>
    <w:rsid w:val="00647A6F"/>
    <w:rsid w:val="00655D94"/>
    <w:rsid w:val="00674BE5"/>
    <w:rsid w:val="00692D58"/>
    <w:rsid w:val="006B39E5"/>
    <w:rsid w:val="008D1218"/>
    <w:rsid w:val="00982EB7"/>
    <w:rsid w:val="00B47713"/>
    <w:rsid w:val="00BE4094"/>
    <w:rsid w:val="00C10EB2"/>
    <w:rsid w:val="00C60FD4"/>
    <w:rsid w:val="00CB7AC6"/>
    <w:rsid w:val="00CC318D"/>
    <w:rsid w:val="00F02441"/>
    <w:rsid w:val="00F4260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A854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21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47A6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47A6F"/>
    <w:rPr>
      <w:rFonts w:ascii="Tahoma" w:hAnsi="Tahoma" w:cs="Tahoma"/>
      <w:sz w:val="16"/>
      <w:szCs w:val="16"/>
    </w:rPr>
  </w:style>
  <w:style w:type="table" w:styleId="Grille">
    <w:name w:val="Table Grid"/>
    <w:basedOn w:val="TableauNormal"/>
    <w:uiPriority w:val="59"/>
    <w:rsid w:val="00CB7A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image" Target="media/image3.png"/><Relationship Id="rId9" Type="http://schemas.openxmlformats.org/officeDocument/2006/relationships/image" Target="media/image4.emf"/><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B55009-4579-BC41-8B39-E0CB8F564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2399</Words>
  <Characters>13200</Characters>
  <Application>Microsoft Macintosh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 Duffaut</dc:creator>
  <cp:lastModifiedBy>Coco Girl Baha</cp:lastModifiedBy>
  <cp:revision>4</cp:revision>
  <dcterms:created xsi:type="dcterms:W3CDTF">2017-08-14T20:42:00Z</dcterms:created>
  <dcterms:modified xsi:type="dcterms:W3CDTF">2017-09-28T10:20:00Z</dcterms:modified>
</cp:coreProperties>
</file>